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0C6EA6">
      <w:pPr>
        <w:jc w:val="left"/>
        <w:rPr>
          <w:rFonts w:ascii="Times New Roman" w:hAnsi="Times New Roman"/>
        </w:rPr>
      </w:pPr>
      <w:bookmarkStart w:id="0" w:name="_Hlk61943130"/>
      <w:bookmarkEnd w:id="0"/>
    </w:p>
    <w:p w14:paraId="47F8157F">
      <w:pPr>
        <w:jc w:val="left"/>
        <w:rPr>
          <w:rFonts w:ascii="Times New Roman" w:hAnsi="Times New Roman"/>
        </w:rPr>
      </w:pPr>
    </w:p>
    <w:p w14:paraId="2E4DAB3A">
      <w:pPr>
        <w:jc w:val="left"/>
        <w:rPr>
          <w:rFonts w:ascii="Times New Roman" w:hAnsi="Times New Roman"/>
        </w:rPr>
      </w:pPr>
    </w:p>
    <w:p w14:paraId="418EC33B">
      <w:pPr>
        <w:jc w:val="center"/>
        <w:rPr>
          <w:rFonts w:ascii="Times New Roman" w:hAnsi="Times New Roman"/>
          <w:b/>
          <w:sz w:val="28"/>
          <w:szCs w:val="28"/>
        </w:rPr>
      </w:pPr>
    </w:p>
    <w:p w14:paraId="5D3E895E">
      <w:pPr>
        <w:spacing w:line="800" w:lineRule="exact"/>
        <w:jc w:val="center"/>
        <w:rPr>
          <w:rFonts w:hint="eastAsia" w:ascii="Times New Roman" w:hAnsi="Times New Roman" w:eastAsia="仿宋_GB2312" w:cs="仿宋_GB2312"/>
          <w:b/>
          <w:sz w:val="40"/>
          <w:szCs w:val="40"/>
          <w:lang w:eastAsia="zh-CN"/>
        </w:rPr>
      </w:pPr>
      <w:bookmarkStart w:id="1" w:name="_Hlk51857744"/>
      <w:bookmarkStart w:id="2" w:name="_Hlk57385975"/>
      <w:r>
        <w:rPr>
          <w:rFonts w:hint="eastAsia" w:ascii="Times New Roman" w:hAnsi="Times New Roman" w:eastAsia="仿宋_GB2312" w:cs="仿宋_GB2312"/>
          <w:b/>
          <w:sz w:val="40"/>
          <w:szCs w:val="40"/>
          <w:lang w:eastAsia="zh-CN"/>
        </w:rPr>
        <w:t>浙江汇鼎新材料有限公司</w:t>
      </w:r>
    </w:p>
    <w:bookmarkEnd w:id="1"/>
    <w:p w14:paraId="53BAC46C">
      <w:pPr>
        <w:spacing w:line="800" w:lineRule="exact"/>
        <w:jc w:val="center"/>
        <w:rPr>
          <w:rFonts w:hint="default" w:ascii="Times New Roman" w:hAnsi="Times New Roman" w:eastAsia="仿宋_GB2312" w:cs="仿宋_GB2312"/>
          <w:b/>
          <w:sz w:val="40"/>
          <w:szCs w:val="40"/>
          <w:lang w:val="en-US" w:eastAsia="zh-CN"/>
        </w:rPr>
      </w:pPr>
      <w:r>
        <w:rPr>
          <w:rFonts w:hint="eastAsia" w:ascii="Times New Roman" w:hAnsi="Times New Roman" w:eastAsia="仿宋_GB2312" w:cs="仿宋_GB2312"/>
          <w:b/>
          <w:sz w:val="40"/>
          <w:szCs w:val="40"/>
          <w:lang w:eastAsia="zh-CN"/>
        </w:rPr>
        <w:t>年产10000万平方米耐碱玻纤网格布项目</w:t>
      </w:r>
    </w:p>
    <w:p w14:paraId="6CD074EF">
      <w:pPr>
        <w:spacing w:line="800" w:lineRule="exact"/>
        <w:jc w:val="center"/>
        <w:rPr>
          <w:rFonts w:ascii="Times New Roman" w:hAnsi="Times New Roman" w:eastAsia="仿宋_GB2312" w:cs="仿宋_GB2312"/>
          <w:b/>
          <w:sz w:val="44"/>
          <w:szCs w:val="44"/>
        </w:rPr>
      </w:pP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lang w:val="en-US" w:eastAsia="zh-CN"/>
        </w:rPr>
        <w:t>先行</w:t>
      </w:r>
      <w:r>
        <w:rPr>
          <w:rFonts w:hint="eastAsia" w:ascii="Times New Roman" w:hAnsi="Times New Roman" w:eastAsia="仿宋_GB2312" w:cs="仿宋_GB2312"/>
          <w:b/>
          <w:sz w:val="40"/>
          <w:szCs w:val="40"/>
          <w:lang w:eastAsia="zh-CN"/>
        </w:rPr>
        <w:t>）竣工环境保护验收监测</w:t>
      </w:r>
      <w:r>
        <w:rPr>
          <w:rFonts w:hint="eastAsia" w:ascii="Times New Roman" w:hAnsi="Times New Roman" w:eastAsia="仿宋_GB2312" w:cs="仿宋_GB2312"/>
          <w:b/>
          <w:sz w:val="40"/>
          <w:szCs w:val="40"/>
        </w:rPr>
        <w:t>报告</w:t>
      </w:r>
      <w:bookmarkEnd w:id="2"/>
    </w:p>
    <w:p w14:paraId="4F299FB7">
      <w:pPr>
        <w:spacing w:line="800" w:lineRule="exact"/>
        <w:jc w:val="center"/>
        <w:rPr>
          <w:rFonts w:hint="eastAsia" w:ascii="Times New Roman" w:hAnsi="Times New Roman" w:eastAsia="仿宋_GB2312" w:cs="仿宋_GB2312"/>
          <w:b/>
          <w:sz w:val="40"/>
          <w:szCs w:val="40"/>
          <w:lang w:eastAsia="zh-CN"/>
        </w:rPr>
      </w:pPr>
    </w:p>
    <w:p w14:paraId="7B682AFB">
      <w:pPr>
        <w:jc w:val="center"/>
        <w:rPr>
          <w:rFonts w:hint="eastAsia" w:ascii="Times New Roman" w:hAnsi="Times New Roman" w:eastAsiaTheme="minorEastAsia"/>
          <w:b/>
          <w:sz w:val="28"/>
          <w:szCs w:val="28"/>
          <w:lang w:eastAsia="zh-CN"/>
        </w:rPr>
      </w:pPr>
      <w:r>
        <w:rPr>
          <w:rFonts w:hint="eastAsia" w:ascii="Times New Roman" w:hAnsi="Times New Roman" w:eastAsia="仿宋_GB2312" w:cs="仿宋_GB2312"/>
          <w:b/>
          <w:bCs/>
          <w:sz w:val="30"/>
          <w:szCs w:val="30"/>
          <w:lang w:val="en-US" w:eastAsia="zh-CN"/>
        </w:rPr>
        <w:t xml:space="preserve"> </w:t>
      </w:r>
    </w:p>
    <w:p w14:paraId="2686F0CC">
      <w:pPr>
        <w:rPr>
          <w:rFonts w:ascii="Times New Roman" w:hAnsi="Times New Roman" w:eastAsia="仿宋_GB2312" w:cs="仿宋_GB2312"/>
          <w:b/>
          <w:sz w:val="28"/>
          <w:szCs w:val="28"/>
        </w:rPr>
      </w:pPr>
    </w:p>
    <w:p w14:paraId="14E52F11">
      <w:pPr>
        <w:jc w:val="center"/>
        <w:rPr>
          <w:rFonts w:ascii="Times New Roman" w:hAnsi="Times New Roman" w:eastAsia="仿宋_GB2312" w:cs="仿宋_GB2312"/>
          <w:b/>
          <w:sz w:val="28"/>
          <w:szCs w:val="28"/>
        </w:rPr>
      </w:pPr>
    </w:p>
    <w:p w14:paraId="35372EAB">
      <w:pPr>
        <w:pStyle w:val="14"/>
        <w:rPr>
          <w:rFonts w:hint="eastAsia"/>
        </w:rPr>
      </w:pPr>
    </w:p>
    <w:p w14:paraId="6DBC411A">
      <w:pPr>
        <w:pStyle w:val="14"/>
        <w:rPr>
          <w:rFonts w:hint="eastAsia"/>
        </w:rPr>
      </w:pPr>
    </w:p>
    <w:p w14:paraId="120B4063">
      <w:pPr>
        <w:pStyle w:val="21"/>
        <w:rPr>
          <w:rFonts w:hint="eastAsia"/>
        </w:rPr>
      </w:pPr>
    </w:p>
    <w:p w14:paraId="5DFDC04C">
      <w:pPr>
        <w:rPr>
          <w:rFonts w:hint="eastAsia"/>
        </w:rPr>
      </w:pPr>
    </w:p>
    <w:p w14:paraId="4A62BE0B">
      <w:pPr>
        <w:pStyle w:val="14"/>
        <w:rPr>
          <w:rFonts w:hint="eastAsia"/>
        </w:rPr>
      </w:pPr>
    </w:p>
    <w:p w14:paraId="4E4DBA51">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浙江汇鼎新材料有限公司</w:t>
      </w:r>
    </w:p>
    <w:p w14:paraId="15A41C25">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eastAsia="zh-CN"/>
        </w:rPr>
        <w:t>浙江汇鼎新材料有限公司</w:t>
      </w:r>
    </w:p>
    <w:p w14:paraId="4FF512F1">
      <w:pPr>
        <w:jc w:val="center"/>
        <w:rPr>
          <w:rFonts w:ascii="Times New Roman" w:hAnsi="Times New Roman" w:eastAsia="仿宋_GB2312" w:cs="仿宋_GB2312"/>
          <w:b/>
          <w:sz w:val="28"/>
          <w:szCs w:val="28"/>
        </w:rPr>
      </w:pPr>
    </w:p>
    <w:p w14:paraId="0B93777E">
      <w:pPr>
        <w:jc w:val="center"/>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2</w:t>
      </w:r>
      <w:r>
        <w:rPr>
          <w:rFonts w:hint="eastAsia" w:ascii="Times New Roman" w:hAnsi="Times New Roman" w:eastAsia="仿宋_GB2312" w:cs="仿宋_GB2312"/>
          <w:b/>
          <w:sz w:val="28"/>
          <w:szCs w:val="28"/>
        </w:rPr>
        <w:t>月</w:t>
      </w:r>
    </w:p>
    <w:p w14:paraId="71923685">
      <w:pPr>
        <w:pStyle w:val="14"/>
        <w:rPr>
          <w:rFonts w:hint="eastAsia"/>
        </w:rPr>
      </w:pPr>
    </w:p>
    <w:p w14:paraId="7D30F27A">
      <w:pPr>
        <w:rPr>
          <w:rFonts w:hint="eastAsia" w:ascii="Times New Roman" w:hAnsi="Times New Roman" w:eastAsiaTheme="minorEastAsia"/>
          <w:sz w:val="28"/>
          <w:szCs w:val="28"/>
          <w:lang w:eastAsia="zh-CN"/>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6AE51ECB">
      <w:pPr>
        <w:rPr>
          <w:rFonts w:ascii="Times New Roman" w:hAnsi="Times New Roman" w:eastAsia="仿宋_GB2312" w:cs="Times New Roman"/>
          <w:b/>
          <w:color w:val="000000"/>
          <w:sz w:val="28"/>
        </w:rPr>
      </w:pPr>
    </w:p>
    <w:p w14:paraId="35FF9A79">
      <w:pPr>
        <w:rPr>
          <w:rFonts w:ascii="Times New Roman" w:hAnsi="Times New Roman" w:eastAsia="仿宋_GB2312" w:cs="Times New Roman"/>
          <w:color w:val="000000"/>
          <w:sz w:val="32"/>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浙江汇鼎新材料有限公司</w:t>
      </w:r>
    </w:p>
    <w:p w14:paraId="76ECC8A0">
      <w:pPr>
        <w:spacing w:line="360" w:lineRule="auto"/>
        <w:rPr>
          <w:rFonts w:ascii="Times New Roman" w:hAnsi="Times New Roman" w:eastAsia="仿宋_GB2312" w:cs="Times New Roman"/>
          <w:color w:val="000000"/>
          <w:sz w:val="28"/>
        </w:rPr>
      </w:pPr>
      <w:r>
        <w:rPr>
          <w:rFonts w:hint="eastAsia" w:ascii="Times New Roman" w:hAnsi="Times New Roman" w:eastAsia="仿宋_GB2312" w:cs="Times New Roman"/>
          <w:b/>
          <w:color w:val="000000"/>
          <w:spacing w:val="34"/>
          <w:sz w:val="28"/>
          <w:lang w:val="en-US" w:eastAsia="zh-CN"/>
        </w:rPr>
        <w:t>编制单位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浙江汇鼎新材料有限公司</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 xml:space="preserve">      </w:t>
      </w:r>
    </w:p>
    <w:p w14:paraId="0938B153">
      <w:pPr>
        <w:spacing w:line="360" w:lineRule="auto"/>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法人代表</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14:paraId="635362E6">
      <w:pPr>
        <w:spacing w:line="360" w:lineRule="auto"/>
        <w:rPr>
          <w:rFonts w:ascii="Times New Roman" w:hAnsi="Times New Roman" w:eastAsia="仿宋" w:cs="Times New Roman"/>
          <w:b/>
          <w:color w:val="000000"/>
          <w:sz w:val="28"/>
        </w:rPr>
      </w:pPr>
      <w:r>
        <w:rPr>
          <w:rFonts w:hint="eastAsia" w:ascii="Times New Roman" w:hAnsi="Times New Roman" w:eastAsia="仿宋" w:cs="Times New Roman"/>
          <w:b/>
          <w:color w:val="000000"/>
          <w:sz w:val="28"/>
          <w:lang w:val="en-US" w:eastAsia="zh-CN"/>
        </w:rPr>
        <w:t>项目负责人</w:t>
      </w:r>
      <w:r>
        <w:rPr>
          <w:rFonts w:ascii="Times New Roman" w:hAnsi="Times New Roman" w:eastAsia="仿宋"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14:paraId="5E2B9A69">
      <w:pPr>
        <w:ind w:firstLine="1559" w:firstLineChars="557"/>
        <w:rPr>
          <w:rFonts w:ascii="Times New Roman" w:hAnsi="Times New Roman" w:eastAsia="仿宋_GB2312" w:cs="仿宋_GB2312"/>
          <w:sz w:val="28"/>
          <w:szCs w:val="28"/>
        </w:rPr>
      </w:pPr>
    </w:p>
    <w:p w14:paraId="15D43D38">
      <w:pPr>
        <w:ind w:firstLine="1559" w:firstLineChars="557"/>
        <w:rPr>
          <w:rFonts w:ascii="Times New Roman" w:hAnsi="Times New Roman" w:eastAsia="仿宋_GB2312" w:cs="仿宋_GB2312"/>
          <w:sz w:val="28"/>
          <w:szCs w:val="28"/>
        </w:rPr>
      </w:pPr>
    </w:p>
    <w:p w14:paraId="6A95F2FB">
      <w:pPr>
        <w:ind w:firstLine="1559" w:firstLineChars="557"/>
        <w:rPr>
          <w:rFonts w:ascii="Times New Roman" w:hAnsi="Times New Roman" w:eastAsia="仿宋_GB2312" w:cs="仿宋_GB2312"/>
          <w:sz w:val="28"/>
          <w:szCs w:val="28"/>
        </w:rPr>
      </w:pPr>
    </w:p>
    <w:p w14:paraId="4438EA1E">
      <w:pPr>
        <w:ind w:firstLine="1559" w:firstLineChars="557"/>
        <w:rPr>
          <w:rFonts w:ascii="Times New Roman" w:hAnsi="Times New Roman" w:eastAsia="仿宋_GB2312" w:cs="仿宋_GB2312"/>
          <w:sz w:val="28"/>
          <w:szCs w:val="28"/>
        </w:rPr>
      </w:pPr>
    </w:p>
    <w:p w14:paraId="3B67A9F1">
      <w:pPr>
        <w:ind w:firstLine="1559" w:firstLineChars="557"/>
        <w:rPr>
          <w:rFonts w:ascii="Times New Roman" w:hAnsi="Times New Roman" w:eastAsia="仿宋_GB2312" w:cs="仿宋_GB2312"/>
          <w:sz w:val="28"/>
          <w:szCs w:val="28"/>
        </w:rPr>
      </w:pPr>
    </w:p>
    <w:tbl>
      <w:tblPr>
        <w:tblStyle w:val="33"/>
        <w:tblW w:w="505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48"/>
        <w:gridCol w:w="4169"/>
      </w:tblGrid>
      <w:tr w14:paraId="0F0FF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449" w:type="dxa"/>
            <w:vAlign w:val="center"/>
          </w:tcPr>
          <w:p w14:paraId="2C45C471">
            <w:pPr>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建设单位</w:t>
            </w:r>
          </w:p>
        </w:tc>
        <w:tc>
          <w:tcPr>
            <w:tcW w:w="4170" w:type="dxa"/>
            <w:vAlign w:val="center"/>
          </w:tcPr>
          <w:p w14:paraId="09AD9FA1">
            <w:pPr>
              <w:spacing w:line="360" w:lineRule="auto"/>
              <w:jc w:val="center"/>
              <w:rPr>
                <w:rFonts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p>
        </w:tc>
      </w:tr>
      <w:tr w14:paraId="760E03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449" w:type="dxa"/>
            <w:vAlign w:val="center"/>
          </w:tcPr>
          <w:p w14:paraId="200AEB65">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lang w:eastAsia="zh-CN"/>
              </w:rPr>
              <w:t>浙江汇鼎新材料有限公司</w:t>
            </w:r>
          </w:p>
          <w:p w14:paraId="44B81D6B">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电话：</w:t>
            </w:r>
            <w:r>
              <w:rPr>
                <w:rFonts w:hint="eastAsia" w:ascii="Times New Roman" w:hAnsi="Times New Roman" w:eastAsia="仿宋_GB2312" w:cs="仿宋_GB2312"/>
                <w:sz w:val="28"/>
                <w:szCs w:val="28"/>
                <w:lang w:val="en-US" w:eastAsia="zh-CN"/>
              </w:rPr>
              <w:t>18767584150</w:t>
            </w:r>
          </w:p>
          <w:p w14:paraId="12F278EE">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w:t>
            </w:r>
          </w:p>
          <w:p w14:paraId="6BE30F91">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邮编：</w:t>
            </w:r>
            <w:r>
              <w:rPr>
                <w:rFonts w:hint="eastAsia" w:ascii="Times New Roman" w:hAnsi="Times New Roman" w:eastAsia="仿宋_GB2312" w:cs="仿宋_GB2312"/>
                <w:sz w:val="28"/>
                <w:szCs w:val="28"/>
                <w:lang w:val="en-US" w:eastAsia="zh-CN"/>
              </w:rPr>
              <w:t>/</w:t>
            </w:r>
          </w:p>
          <w:p w14:paraId="2C0783CB">
            <w:pPr>
              <w:spacing w:line="360" w:lineRule="auto"/>
              <w:rPr>
                <w:rFonts w:hint="default" w:ascii="Times New Roman" w:hAnsi="Times New Roman" w:eastAsia="仿宋_GB2312" w:cs="仿宋_GB2312"/>
                <w:sz w:val="28"/>
                <w:szCs w:val="28"/>
                <w:lang w:val="en-US"/>
              </w:rPr>
            </w:pPr>
            <w:r>
              <w:rPr>
                <w:rFonts w:hint="eastAsia" w:ascii="Times New Roman" w:hAnsi="Times New Roman" w:eastAsia="仿宋_GB2312" w:cs="仿宋_GB2312"/>
                <w:sz w:val="28"/>
                <w:szCs w:val="28"/>
              </w:rPr>
              <w:t>地址：</w:t>
            </w:r>
            <w:r>
              <w:rPr>
                <w:rFonts w:hint="eastAsia" w:ascii="Times New Roman" w:hAnsi="Times New Roman" w:eastAsia="仿宋_GB2312" w:cs="仿宋_GB2312"/>
                <w:sz w:val="28"/>
                <w:szCs w:val="28"/>
                <w:lang w:bidi="zh-CN"/>
              </w:rPr>
              <w:t>浙江省金华市磐安县尖山镇塑料产业园一街96号</w:t>
            </w:r>
          </w:p>
        </w:tc>
        <w:tc>
          <w:tcPr>
            <w:tcW w:w="4170" w:type="dxa"/>
            <w:vAlign w:val="center"/>
          </w:tcPr>
          <w:p w14:paraId="588915FA">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lang w:eastAsia="zh-CN"/>
              </w:rPr>
              <w:t>浙江汇鼎新材料有限公司</w:t>
            </w:r>
          </w:p>
          <w:p w14:paraId="64BFA699">
            <w:pPr>
              <w:spacing w:line="360" w:lineRule="auto"/>
              <w:rPr>
                <w:rFonts w:hint="eastAsia" w:ascii="Times New Roman" w:hAnsi="Times New Roman" w:eastAsia="仿宋_GB2312" w:cs="仿宋_GB2312"/>
                <w:sz w:val="28"/>
                <w:szCs w:val="28"/>
                <w:lang w:eastAsia="zh-CN"/>
              </w:rPr>
            </w:pPr>
            <w:r>
              <w:rPr>
                <w:rFonts w:hint="eastAsia" w:ascii="Times New Roman" w:hAnsi="Times New Roman" w:eastAsia="仿宋_GB2312" w:cs="仿宋_GB2312"/>
                <w:sz w:val="28"/>
                <w:szCs w:val="28"/>
              </w:rPr>
              <w:t>电话：</w:t>
            </w:r>
            <w:r>
              <w:rPr>
                <w:rFonts w:hint="eastAsia" w:ascii="Times New Roman" w:hAnsi="Times New Roman" w:eastAsia="仿宋_GB2312" w:cs="仿宋_GB2312"/>
                <w:sz w:val="28"/>
                <w:szCs w:val="28"/>
                <w:lang w:val="en-US" w:eastAsia="zh-CN"/>
              </w:rPr>
              <w:t>18767584150</w:t>
            </w:r>
          </w:p>
          <w:p w14:paraId="137596DD">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传真：/</w:t>
            </w:r>
          </w:p>
          <w:p w14:paraId="791C59B4">
            <w:pPr>
              <w:spacing w:line="360" w:lineRule="auto"/>
              <w:rPr>
                <w:rFonts w:hint="default" w:ascii="Times New Roman" w:hAnsi="Times New Roman" w:eastAsia="仿宋_GB2312" w:cs="仿宋_GB2312"/>
                <w:sz w:val="28"/>
                <w:szCs w:val="28"/>
                <w:lang w:val="en-US" w:eastAsia="zh-CN"/>
              </w:rPr>
            </w:pPr>
            <w:r>
              <w:rPr>
                <w:rFonts w:hint="eastAsia" w:ascii="Times New Roman" w:hAnsi="Times New Roman" w:eastAsia="仿宋_GB2312" w:cs="仿宋_GB2312"/>
                <w:sz w:val="28"/>
                <w:szCs w:val="28"/>
              </w:rPr>
              <w:t>邮编：</w:t>
            </w:r>
            <w:r>
              <w:rPr>
                <w:rFonts w:hint="eastAsia" w:ascii="Times New Roman" w:hAnsi="Times New Roman" w:eastAsia="仿宋_GB2312" w:cs="仿宋_GB2312"/>
                <w:sz w:val="28"/>
                <w:szCs w:val="28"/>
                <w:lang w:val="en-US" w:eastAsia="zh-CN"/>
              </w:rPr>
              <w:t>/</w:t>
            </w:r>
          </w:p>
          <w:p w14:paraId="0C203B0F">
            <w:pPr>
              <w:spacing w:line="360" w:lineRule="auto"/>
              <w:rPr>
                <w:rFonts w:ascii="Times New Roman" w:hAnsi="Times New Roman" w:eastAsia="仿宋_GB2312" w:cs="仿宋_GB2312"/>
                <w:sz w:val="28"/>
                <w:szCs w:val="28"/>
              </w:rPr>
            </w:pPr>
            <w:r>
              <w:rPr>
                <w:rFonts w:hint="eastAsia" w:ascii="Times New Roman" w:hAnsi="Times New Roman" w:eastAsia="仿宋_GB2312" w:cs="仿宋_GB2312"/>
                <w:sz w:val="28"/>
                <w:szCs w:val="28"/>
              </w:rPr>
              <w:t>地址：</w:t>
            </w:r>
            <w:r>
              <w:rPr>
                <w:rFonts w:hint="eastAsia" w:ascii="Times New Roman" w:hAnsi="Times New Roman" w:eastAsia="仿宋_GB2312" w:cs="仿宋_GB2312"/>
                <w:sz w:val="28"/>
                <w:szCs w:val="28"/>
                <w:lang w:bidi="zh-CN"/>
              </w:rPr>
              <w:t>浙江省金华市磐安县尖山镇塑料产业园一街96号</w:t>
            </w:r>
          </w:p>
        </w:tc>
      </w:tr>
    </w:tbl>
    <w:p w14:paraId="2D49F33A">
      <w:pPr>
        <w:ind w:firstLine="1559" w:firstLineChars="557"/>
        <w:rPr>
          <w:rFonts w:ascii="Times New Roman" w:hAnsi="Times New Roman" w:eastAsia="仿宋_GB2312" w:cs="仿宋_GB2312"/>
          <w:sz w:val="28"/>
          <w:szCs w:val="28"/>
        </w:rPr>
      </w:pPr>
    </w:p>
    <w:p w14:paraId="6370DB8A">
      <w:pPr>
        <w:spacing w:line="360" w:lineRule="auto"/>
        <w:ind w:firstLine="420" w:firstLineChars="150"/>
        <w:rPr>
          <w:rFonts w:ascii="Times New Roman" w:hAnsi="Times New Roman" w:eastAsia="仿宋_GB2312" w:cs="仿宋_GB2312"/>
          <w:sz w:val="28"/>
          <w:szCs w:val="28"/>
        </w:rPr>
        <w:sectPr>
          <w:headerReference r:id="rId4" w:type="default"/>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eastAsia" w:ascii="Times New Roman" w:hAnsi="Times New Roman" w:eastAsia="仿宋_GB2312" w:cs="仿宋_GB2312"/>
          <w:sz w:val="28"/>
          <w:szCs w:val="28"/>
        </w:rPr>
        <w:t xml:space="preserve">     </w:t>
      </w:r>
    </w:p>
    <w:sdt>
      <w:sdtPr>
        <w:rPr>
          <w:rFonts w:ascii="Times New Roman" w:hAnsi="Times New Roman"/>
          <w:lang w:val="zh-CN"/>
        </w:rPr>
        <w:id w:val="1207214"/>
      </w:sdtPr>
      <w:sdtEndPr>
        <w:rPr>
          <w:rFonts w:hint="default" w:ascii="Times New Roman" w:hAnsi="Times New Roman" w:eastAsia="宋体" w:cs="Times New Roman"/>
          <w:i w:val="0"/>
          <w:iCs w:val="0"/>
          <w:lang w:val="en-US"/>
        </w:rPr>
      </w:sdtEndPr>
      <w:sdtContent>
        <w:p w14:paraId="5968B27B">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14:paraId="53EB28AC">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 w:val="21"/>
              <w:szCs w:val="21"/>
            </w:rPr>
            <w:fldChar w:fldCharType="begin"/>
          </w:r>
          <w:r>
            <w:rPr>
              <w:rFonts w:hint="default" w:ascii="Times New Roman" w:hAnsi="Times New Roman" w:eastAsia="宋体" w:cs="Times New Roman"/>
              <w:i w:val="0"/>
              <w:iCs w:val="0"/>
              <w:sz w:val="21"/>
              <w:szCs w:val="21"/>
            </w:rPr>
            <w:instrText xml:space="preserve"> TOC \o "1-3" \h \z \u </w:instrText>
          </w:r>
          <w:r>
            <w:rPr>
              <w:rFonts w:hint="default" w:ascii="Times New Roman" w:hAnsi="Times New Roman" w:eastAsia="宋体" w:cs="Times New Roman"/>
              <w:i w:val="0"/>
              <w:iCs w:val="0"/>
              <w:sz w:val="21"/>
              <w:szCs w:val="21"/>
            </w:rPr>
            <w:fldChar w:fldCharType="separate"/>
          </w: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_Toc15073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1项目概况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_Toc15073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57805781">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_Toc30027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rPr>
            <w:t>1.1基本情况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_Toc30027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C6EC7F8">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_Toc11967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1.2项目审批情况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_Toc11967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AE34B00">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_Toc11518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1.3项目建设情况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_Toc11518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43AFD7BD">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_Toc17501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1.4项目验收工作情况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_Toc17501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508AEBC">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_Toc21019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2验收依据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_Toc21019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60CE0565">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_Toc20164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2.1建设项目环境保护相关法</w:t>
          </w:r>
          <w:r>
            <w:rPr>
              <w:rFonts w:hint="default" w:ascii="Times New Roman" w:hAnsi="Times New Roman" w:eastAsia="宋体" w:cs="Times New Roman"/>
              <w:i w:val="0"/>
              <w:iCs w:val="0"/>
              <w:highlight w:val="none"/>
            </w:rPr>
            <w:t>律、法规和规章制度</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_Toc20164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6C7D8FC">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_Toc17102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2.2建设项目竣工环境保护验收技术规范</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_Toc17102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3302575">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_Toc21901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2.3建设项目</w:t>
          </w:r>
          <w:r>
            <w:rPr>
              <w:rFonts w:hint="default" w:ascii="Times New Roman" w:hAnsi="Times New Roman" w:eastAsia="宋体" w:cs="Times New Roman"/>
              <w:i w:val="0"/>
              <w:iCs w:val="0"/>
              <w:lang w:eastAsia="zh-CN"/>
            </w:rPr>
            <w:t>环境影响报告表</w:t>
          </w:r>
          <w:r>
            <w:rPr>
              <w:rFonts w:hint="default" w:ascii="Times New Roman" w:hAnsi="Times New Roman" w:eastAsia="宋体" w:cs="Times New Roman"/>
              <w:i w:val="0"/>
              <w:iCs w:val="0"/>
            </w:rPr>
            <w:t>及其审批部门审批决定</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_Toc21901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5D489F66">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_Toc2540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2.4其他相关文件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_Toc2540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ED1D6D4">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_Toc15214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lang w:val="en-US" w:eastAsia="zh-CN"/>
            </w:rPr>
            <w:t>3项目建设情况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_Toc15214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9C12D91">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_Toc15796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3.1地理位置及平面布置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_Toc15796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BF1B94E">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_Toc10859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3.2建设内容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_Toc10859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89CC33A">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_Toc8670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3.3主要原辅材料及燃料</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_Toc8670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10</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F7543DE">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_Toc31281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lang w:val="en-US" w:eastAsia="zh-CN"/>
            </w:rPr>
            <w:t>4</w:t>
          </w:r>
          <w:r>
            <w:rPr>
              <w:rFonts w:hint="default" w:ascii="Times New Roman" w:hAnsi="Times New Roman" w:eastAsia="宋体" w:cs="Times New Roman"/>
              <w:i w:val="0"/>
              <w:iCs w:val="0"/>
            </w:rPr>
            <w:t>主要生产设备</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_Toc31281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10</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E5F929F">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_Toc3815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3.</w:t>
          </w:r>
          <w:r>
            <w:rPr>
              <w:rFonts w:hint="default" w:ascii="Times New Roman" w:hAnsi="Times New Roman" w:eastAsia="宋体" w:cs="Times New Roman"/>
              <w:i w:val="0"/>
              <w:iCs w:val="0"/>
              <w:lang w:val="en-US" w:eastAsia="zh-CN"/>
            </w:rPr>
            <w:t>5</w:t>
          </w:r>
          <w:r>
            <w:rPr>
              <w:rFonts w:hint="default" w:ascii="Times New Roman" w:hAnsi="Times New Roman" w:eastAsia="宋体" w:cs="Times New Roman"/>
              <w:i w:val="0"/>
              <w:iCs w:val="0"/>
            </w:rPr>
            <w:t>水源及水平衡</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_Toc3815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0BF25B3">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_Toc10917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3.</w:t>
          </w:r>
          <w:r>
            <w:rPr>
              <w:rFonts w:hint="default" w:ascii="Times New Roman" w:hAnsi="Times New Roman" w:eastAsia="宋体" w:cs="Times New Roman"/>
              <w:i w:val="0"/>
              <w:iCs w:val="0"/>
              <w:highlight w:val="none"/>
              <w:lang w:val="en-US" w:eastAsia="zh-CN"/>
            </w:rPr>
            <w:t>6</w:t>
          </w:r>
          <w:r>
            <w:rPr>
              <w:rFonts w:hint="default" w:ascii="Times New Roman" w:hAnsi="Times New Roman" w:eastAsia="宋体" w:cs="Times New Roman"/>
              <w:i w:val="0"/>
              <w:iCs w:val="0"/>
              <w:highlight w:val="none"/>
            </w:rPr>
            <w:t>生产工艺</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_Toc10917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6A90EE8">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_Toc28923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3.7项目变动情况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_Toc28923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5E95CF3D">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_Toc7098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inorEastAsia"/>
              <w:bCs/>
              <w:i w:val="0"/>
              <w:iCs w:val="0"/>
              <w:kern w:val="44"/>
              <w:szCs w:val="44"/>
              <w:highlight w:val="none"/>
              <w:lang w:val="en-US" w:eastAsia="zh-CN" w:bidi="ar-SA"/>
            </w:rPr>
            <w:t>4环境保护设施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_Toc7098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29DA348">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_Toc747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4.1污染物治理/处置设施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_Toc747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407B0DEE">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_Toc13563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4.1.1废水</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_Toc13563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D1DA0D9">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_Toc19983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4.1.2废气</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_Toc19983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8D9B309">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_Toc631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4.1.3噪声</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_Toc631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19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58CFA657">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_Toc32264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4.1.4固（液）体废物</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_Toc32264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B769990">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_Toc14825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4.2其他环境保护设施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_Toc14825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FA12CB4">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_Toc20409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4.2.1环境风险防范设施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_Toc20409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5F31304">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_Toc29273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highlight w:val="none"/>
            </w:rPr>
            <w:t>4.2.2规范化排污口、监测</w:t>
          </w:r>
          <w:r>
            <w:rPr>
              <w:rFonts w:hint="default" w:ascii="Times New Roman" w:hAnsi="Times New Roman" w:cs="Times New Roman"/>
              <w:i w:val="0"/>
              <w:iCs w:val="0"/>
            </w:rPr>
            <w:t>设施及在线监测装置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_Toc29273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6813CA9A">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_Toc23802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4.2.3其他设施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_Toc23802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4EC2FA7E">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_Toc27015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4.3环保设施投资及“三同时”落实情况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_Toc27015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11C8243">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_Toc21187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highlight w:val="none"/>
            </w:rPr>
            <w:t>4.3.1 环保设施投资</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_Toc21187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CA61A36">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_Toc19929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4.3.2 “三同时”落实情况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_Toc19929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4148D207">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_Toc19946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highlight w:val="none"/>
            </w:rPr>
            <w:t>5建设项目环评报告的主要结论与建议及其审批部门审批决定</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_Toc19946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1F3C10B">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_Toc30893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5.1建设项目环评报告的主要结论与建议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_Toc30893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B07F280">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_Toc15023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lang w:val="en-US" w:eastAsia="zh-CN"/>
            </w:rPr>
            <w:t>5.1.1 建设项目污染产生和防治措施</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_Toc15023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0AEC641">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_Toc9273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lang w:val="en-US" w:eastAsia="zh-CN"/>
            </w:rPr>
            <w:t>5.1.2 环评总结论</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_Toc9273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07843E9">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_Toc13725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5.2审批部门审批决定</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_Toc13725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29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7E286D5">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_Toc16730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highlight w:val="none"/>
            </w:rPr>
            <w:t>6验收执行标准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_Toc16730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4594D09">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_Toc8338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6.1废水验收执行标准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_Toc8338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C54BBA0">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_Toc29964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6.2废气验收执行标准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_Toc29964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7FB181A">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_Toc29932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6.3噪声验收执行标准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_Toc29932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4785286">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_Toc16983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6.4固废验收执行标准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_Toc16983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C812584">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_Toc25638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6.5主要污染物</w:t>
          </w:r>
          <w:r>
            <w:rPr>
              <w:rFonts w:hint="default" w:ascii="Times New Roman" w:hAnsi="Times New Roman" w:eastAsia="宋体" w:cs="Times New Roman"/>
              <w:i w:val="0"/>
              <w:iCs w:val="0"/>
            </w:rPr>
            <w:t>排放总量控制指标</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_Toc25638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9700F07">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_Toc19704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highlight w:val="none"/>
            </w:rPr>
            <w:t>6.6环境质量标准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_Toc19704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566061AC">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_Toc8820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lang w:val="en-US" w:eastAsia="zh-CN"/>
            </w:rPr>
            <w:t>6.6.1环境空气质量标准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_Toc8820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A33D9CB">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_Toc16919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lang w:val="en-US" w:eastAsia="zh-CN"/>
            </w:rPr>
            <w:t>6.6.2声环境质量标准</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_Toc16919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84679C1">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_Toc21274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7</w:t>
          </w:r>
          <w:r>
            <w:rPr>
              <w:rFonts w:hint="default" w:ascii="Times New Roman" w:hAnsi="Times New Roman" w:cs="Times New Roman"/>
              <w:i w:val="0"/>
              <w:iCs w:val="0"/>
              <w:highlight w:val="none"/>
            </w:rPr>
            <w:t>验收监测</w:t>
          </w:r>
          <w:r>
            <w:rPr>
              <w:rFonts w:hint="default" w:ascii="Times New Roman" w:hAnsi="Times New Roman" w:cs="Times New Roman"/>
              <w:i w:val="0"/>
              <w:iCs w:val="0"/>
            </w:rPr>
            <w:t>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_Toc21274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CBD7DE9">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_Toc8123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7.1环境保护设施调</w:t>
          </w:r>
          <w:r>
            <w:rPr>
              <w:rFonts w:hint="default" w:ascii="Times New Roman" w:hAnsi="Times New Roman" w:eastAsia="宋体" w:cs="Times New Roman"/>
              <w:i w:val="0"/>
              <w:iCs w:val="0"/>
              <w:lang w:val="en-US" w:eastAsia="zh-CN"/>
            </w:rPr>
            <w:t xml:space="preserve"> </w:t>
          </w:r>
          <w:r>
            <w:rPr>
              <w:rFonts w:hint="default" w:ascii="Times New Roman" w:hAnsi="Times New Roman" w:eastAsia="宋体" w:cs="Times New Roman"/>
              <w:i w:val="0"/>
              <w:iCs w:val="0"/>
            </w:rPr>
            <w:t>试运行效果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_Toc8123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493E3FA8">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_Toc3214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7.1.1废水验收监测内容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_Toc3214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42C7032C">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_Toc6370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7.1.2废气验收监测内容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_Toc6370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AD93662">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_Toc23212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7.1.3厂界噪声监测</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_Toc23212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4CEC2066">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_Toc876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7.1.4</w:t>
          </w:r>
          <w:r>
            <w:rPr>
              <w:rFonts w:hint="default" w:ascii="Times New Roman" w:hAnsi="Times New Roman" w:cs="Times New Roman"/>
              <w:i w:val="0"/>
              <w:iCs w:val="0"/>
              <w:lang w:val="en-US" w:eastAsia="zh-CN"/>
            </w:rPr>
            <w:t>监测</w:t>
          </w:r>
          <w:r>
            <w:rPr>
              <w:rFonts w:hint="default" w:ascii="Times New Roman" w:hAnsi="Times New Roman" w:cs="Times New Roman"/>
              <w:i w:val="0"/>
              <w:iCs w:val="0"/>
            </w:rPr>
            <w:t>点位</w:t>
          </w:r>
          <w:r>
            <w:rPr>
              <w:rFonts w:hint="default" w:ascii="Times New Roman" w:hAnsi="Times New Roman" w:cs="Times New Roman"/>
              <w:i w:val="0"/>
              <w:iCs w:val="0"/>
              <w:highlight w:val="none"/>
              <w:lang w:val="en-US" w:eastAsia="zh-CN"/>
            </w:rPr>
            <w:t>布置</w:t>
          </w:r>
          <w:r>
            <w:rPr>
              <w:rFonts w:hint="default" w:ascii="Times New Roman" w:hAnsi="Times New Roman" w:cs="Times New Roman"/>
              <w:i w:val="0"/>
              <w:iCs w:val="0"/>
            </w:rPr>
            <w:t>图</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_Toc876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3BA387B">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_Toc6018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bCs/>
              <w:i w:val="0"/>
              <w:iCs w:val="0"/>
              <w:caps w:val="0"/>
              <w:kern w:val="2"/>
              <w:szCs w:val="32"/>
              <w:highlight w:val="none"/>
              <w:lang w:val="en-US" w:eastAsia="zh-CN" w:bidi="ar-SA"/>
            </w:rPr>
            <w:t>7.2环境质量监测</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_Toc6018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7B1566D">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_Toc26163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7.</w:t>
          </w:r>
          <w:r>
            <w:rPr>
              <w:rFonts w:hint="default" w:ascii="Times New Roman" w:hAnsi="Times New Roman" w:cs="Times New Roman"/>
              <w:i w:val="0"/>
              <w:iCs w:val="0"/>
              <w:lang w:val="en-US" w:eastAsia="zh-CN"/>
            </w:rPr>
            <w:t>2</w:t>
          </w:r>
          <w:r>
            <w:rPr>
              <w:rFonts w:hint="default" w:ascii="Times New Roman" w:hAnsi="Times New Roman" w:cs="Times New Roman"/>
              <w:i w:val="0"/>
              <w:iCs w:val="0"/>
            </w:rPr>
            <w:t>.1</w:t>
          </w:r>
          <w:r>
            <w:rPr>
              <w:rFonts w:hint="default" w:ascii="Times New Roman" w:hAnsi="Times New Roman" w:cs="Times New Roman"/>
              <w:i w:val="0"/>
              <w:iCs w:val="0"/>
              <w:lang w:val="en-US" w:eastAsia="zh-CN"/>
            </w:rPr>
            <w:t>环境空气</w:t>
          </w:r>
          <w:r>
            <w:rPr>
              <w:rFonts w:hint="default" w:ascii="Times New Roman" w:hAnsi="Times New Roman" w:cs="Times New Roman"/>
              <w:i w:val="0"/>
              <w:iCs w:val="0"/>
            </w:rPr>
            <w:t>验收监测内容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_Toc26163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AAF9C9E">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_Toc30586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7.</w:t>
          </w:r>
          <w:r>
            <w:rPr>
              <w:rFonts w:hint="default" w:ascii="Times New Roman" w:hAnsi="Times New Roman" w:cs="Times New Roman"/>
              <w:i w:val="0"/>
              <w:iCs w:val="0"/>
              <w:lang w:val="en-US" w:eastAsia="zh-CN"/>
            </w:rPr>
            <w:t>2</w:t>
          </w:r>
          <w:r>
            <w:rPr>
              <w:rFonts w:hint="default" w:ascii="Times New Roman" w:hAnsi="Times New Roman" w:cs="Times New Roman"/>
              <w:i w:val="0"/>
              <w:iCs w:val="0"/>
            </w:rPr>
            <w:t>.2</w:t>
          </w:r>
          <w:r>
            <w:rPr>
              <w:rFonts w:hint="default" w:ascii="Times New Roman" w:hAnsi="Times New Roman" w:cs="Times New Roman"/>
              <w:i w:val="0"/>
              <w:iCs w:val="0"/>
              <w:lang w:val="en-US" w:eastAsia="zh-CN"/>
            </w:rPr>
            <w:t>声环境</w:t>
          </w:r>
          <w:r>
            <w:rPr>
              <w:rFonts w:hint="default" w:ascii="Times New Roman" w:hAnsi="Times New Roman" w:cs="Times New Roman"/>
              <w:i w:val="0"/>
              <w:iCs w:val="0"/>
            </w:rPr>
            <w:t>监测</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_Toc30586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0BD0B0F">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_Toc12547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8质量保证及质量控制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_Toc12547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7AFA981">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_Toc19447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8.1监测分析方法</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_Toc19447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E4CAC84">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_Toc13662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8.2监测仪器</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_Toc13662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39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12594E1">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_Toc22421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8.3人员能力</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_Toc22421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40</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5B4EC09">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_Toc28188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8.4水质监测分析过程中的质量保证和质量控制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_Toc28188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40</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B08CB0A">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_Toc10670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8.5气体监测分析过程中的质量保证和质量控制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_Toc10670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69F95A2">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_Toc21877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8.6噪声监测分析过程中的质量保证和质量控制</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_Toc21877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2EE511C">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_Toc25304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8.7采样记录及分析结果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_Toc25304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BD931DC">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_Toc17400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rPr>
            <w:t>9验收监测结果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_Toc17400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4445FEB8">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_Toc4720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9.1生产工况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_Toc4720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885CEC3">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_Toc26733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rPr>
            <w:t>9.2</w:t>
          </w:r>
          <w:r>
            <w:rPr>
              <w:rFonts w:hint="default" w:ascii="Times New Roman" w:hAnsi="Times New Roman" w:cs="Times New Roman"/>
              <w:i w:val="0"/>
              <w:iCs w:val="0"/>
            </w:rPr>
            <w:t>污染物排放监测及环保设施处理效率结果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_Toc26733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5B61FB87">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_Toc7544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highlight w:val="none"/>
            </w:rPr>
            <w:t>9.2.1废水监测结果及评价</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_Toc7544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E46F367">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_Toc10181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highlight w:val="none"/>
            </w:rPr>
            <w:t>9.2.2固定污染源废气检测结果及评价</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_Toc10181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59F45DB">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_Toc24901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rPr>
            <w:t>9</w:t>
          </w:r>
          <w:r>
            <w:rPr>
              <w:rFonts w:hint="default" w:ascii="Times New Roman" w:hAnsi="Times New Roman" w:cs="Times New Roman"/>
              <w:i w:val="0"/>
              <w:iCs w:val="0"/>
              <w:kern w:val="22"/>
              <w:highlight w:val="none"/>
            </w:rPr>
            <w:t>.2.3无组织废气</w:t>
          </w:r>
          <w:r>
            <w:rPr>
              <w:rFonts w:hint="default" w:ascii="Times New Roman" w:hAnsi="Times New Roman" w:cs="Times New Roman"/>
              <w:i w:val="0"/>
              <w:iCs w:val="0"/>
              <w:kern w:val="22"/>
            </w:rPr>
            <w:t>检测结果及评价</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_Toc24901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48</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C4B6E05">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_Toc28029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rPr>
            <w:t>9.2.4噪声检测结果及评价</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_Toc28029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4855696">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_Toc6363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highlight w:val="none"/>
            </w:rPr>
            <w:t>9.2.</w:t>
          </w:r>
          <w:r>
            <w:rPr>
              <w:rFonts w:hint="default" w:ascii="Times New Roman" w:hAnsi="Times New Roman" w:cs="Times New Roman"/>
              <w:i w:val="0"/>
              <w:iCs w:val="0"/>
              <w:kern w:val="22"/>
              <w:highlight w:val="none"/>
              <w:lang w:val="en-US" w:eastAsia="zh-CN"/>
            </w:rPr>
            <w:t>5</w:t>
          </w:r>
          <w:r>
            <w:rPr>
              <w:rFonts w:hint="default" w:ascii="Times New Roman" w:hAnsi="Times New Roman" w:cs="Times New Roman"/>
              <w:i w:val="0"/>
              <w:iCs w:val="0"/>
              <w:highlight w:val="none"/>
            </w:rPr>
            <w:t>环保设施</w:t>
          </w:r>
          <w:r>
            <w:rPr>
              <w:rFonts w:hint="default" w:ascii="Times New Roman" w:hAnsi="Times New Roman" w:cs="Times New Roman"/>
              <w:i w:val="0"/>
              <w:iCs w:val="0"/>
              <w:highlight w:val="none"/>
              <w:lang w:val="en-US" w:eastAsia="zh-CN"/>
            </w:rPr>
            <w:t>处理</w:t>
          </w:r>
          <w:r>
            <w:rPr>
              <w:rFonts w:hint="default" w:ascii="Times New Roman" w:hAnsi="Times New Roman" w:cs="Times New Roman"/>
              <w:i w:val="0"/>
              <w:iCs w:val="0"/>
              <w:highlight w:val="none"/>
            </w:rPr>
            <w:t>效率监测结果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_Toc6363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7A515A4">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_Toc30751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highlight w:val="none"/>
            </w:rPr>
            <w:t>9.2.6污染物排放总量核算</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_Toc30751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91DF486">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_Toc487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lang w:val="en-US" w:eastAsia="zh-CN"/>
            </w:rPr>
            <w:t>9.3工程建设对环境的影响</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_Toc487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3D9B1BD">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_Toc19143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lang w:val="en-US" w:eastAsia="zh-CN"/>
            </w:rPr>
            <w:t>9.3.1环境空气</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_Toc19143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61E19CDE">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_Toc26286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lang w:val="en-US" w:eastAsia="zh-CN"/>
            </w:rPr>
            <w:t>9.3.2声环境</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_Toc26286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5771FF8">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_Toc29654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highlight w:val="none"/>
            </w:rPr>
            <w:t>10验收监测结论</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_Toc29654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16D77052">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_Toc7286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rPr>
            <w:t>10.1环保设施调试运行效果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_Toc7286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E07E483">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_Toc6714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rPr>
            <w:t>10.1.1环保设施处理效率监测结果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_Toc6714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6F30440B">
          <w:pPr>
            <w:pStyle w:val="13"/>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_Toc16946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i w:val="0"/>
              <w:iCs w:val="0"/>
              <w:kern w:val="22"/>
            </w:rPr>
            <w:t>10.1.2</w:t>
          </w:r>
          <w:r>
            <w:rPr>
              <w:rFonts w:hint="default" w:ascii="Times New Roman" w:hAnsi="Times New Roman" w:cs="Times New Roman"/>
              <w:i w:val="0"/>
              <w:iCs w:val="0"/>
              <w:kern w:val="22"/>
              <w:highlight w:val="none"/>
            </w:rPr>
            <w:t>污染设施排放监测结</w:t>
          </w:r>
          <w:r>
            <w:rPr>
              <w:rFonts w:hint="default" w:ascii="Times New Roman" w:hAnsi="Times New Roman" w:cs="Times New Roman"/>
              <w:i w:val="0"/>
              <w:iCs w:val="0"/>
              <w:kern w:val="22"/>
            </w:rPr>
            <w:t>果</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_Toc16946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18A508F">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_Toc3570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highlight w:val="none"/>
            </w:rPr>
            <w:t>10.2工程建设对环境的影响</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_Toc3570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6E9E581A">
          <w:pPr>
            <w:pStyle w:val="26"/>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_Toc10605 </w:instrText>
          </w:r>
          <w:r>
            <w:rPr>
              <w:rFonts w:hint="default" w:ascii="Times New Roman" w:hAnsi="Times New Roman" w:eastAsia="宋体" w:cs="Times New Roman"/>
              <w:i w:val="0"/>
              <w:iCs w:val="0"/>
              <w:szCs w:val="21"/>
            </w:rPr>
            <w:fldChar w:fldCharType="separate"/>
          </w:r>
          <w:r>
            <w:rPr>
              <w:rFonts w:hint="default" w:ascii="Times New Roman" w:hAnsi="Times New Roman" w:eastAsia="宋体" w:cs="Times New Roman"/>
              <w:i w:val="0"/>
              <w:iCs w:val="0"/>
              <w:kern w:val="22"/>
            </w:rPr>
            <w:t>10.</w:t>
          </w:r>
          <w:r>
            <w:rPr>
              <w:rFonts w:hint="default" w:ascii="Times New Roman" w:hAnsi="Times New Roman" w:eastAsia="宋体" w:cs="Times New Roman"/>
              <w:i w:val="0"/>
              <w:iCs w:val="0"/>
              <w:kern w:val="22"/>
              <w:lang w:val="en-US" w:eastAsia="zh-CN"/>
            </w:rPr>
            <w:t>3</w:t>
          </w:r>
          <w:r>
            <w:rPr>
              <w:rFonts w:hint="default" w:ascii="Times New Roman" w:hAnsi="Times New Roman" w:eastAsia="宋体" w:cs="Times New Roman"/>
              <w:i w:val="0"/>
              <w:iCs w:val="0"/>
              <w:kern w:val="22"/>
            </w:rPr>
            <w:t>建议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_Toc10605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2450DD90">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_Toc15799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szCs w:val="32"/>
              <w:highlight w:val="none"/>
            </w:rPr>
            <w:t>附件1 建设项目环境保护“三同时”竣工验收报告表</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_Toc15799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FD7B71D">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_Toc25558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2</w:t>
          </w:r>
          <w:r>
            <w:rPr>
              <w:rFonts w:hint="default" w:ascii="Times New Roman" w:hAnsi="Times New Roman" w:cs="Times New Roman" w:eastAsiaTheme="majorEastAsia"/>
              <w:bCs w:val="0"/>
              <w:i w:val="0"/>
              <w:iCs w:val="0"/>
              <w:szCs w:val="32"/>
            </w:rPr>
            <w:t xml:space="preserve"> 环评批复</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_Toc25558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59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2D8420E">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_Toc17140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3</w:t>
          </w:r>
          <w:r>
            <w:rPr>
              <w:rFonts w:hint="default" w:ascii="Times New Roman" w:hAnsi="Times New Roman" w:cs="Times New Roman" w:eastAsiaTheme="majorEastAsia"/>
              <w:bCs w:val="0"/>
              <w:i w:val="0"/>
              <w:iCs w:val="0"/>
              <w:szCs w:val="32"/>
            </w:rPr>
            <w:t xml:space="preserve"> </w:t>
          </w:r>
          <w:r>
            <w:rPr>
              <w:rFonts w:hint="default" w:ascii="Times New Roman" w:hAnsi="Times New Roman" w:cs="Times New Roman" w:eastAsiaTheme="majorEastAsia"/>
              <w:bCs w:val="0"/>
              <w:i w:val="0"/>
              <w:iCs w:val="0"/>
              <w:szCs w:val="32"/>
              <w:lang w:val="en-US" w:eastAsia="zh-CN"/>
            </w:rPr>
            <w:t>排污许可证</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_Toc17140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62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5D531E2A">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_Toc469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kern w:val="44"/>
              <w:szCs w:val="32"/>
              <w:lang w:val="en-US" w:eastAsia="zh-CN" w:bidi="ar-SA"/>
            </w:rPr>
            <w:t>附件4 危废处置协议</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_Toc469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63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F662154">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_Toc32370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szCs w:val="32"/>
              <w:highlight w:val="none"/>
            </w:rPr>
            <w:t>附件</w:t>
          </w:r>
          <w:r>
            <w:rPr>
              <w:rFonts w:hint="default" w:ascii="Times New Roman" w:hAnsi="Times New Roman" w:cs="Times New Roman" w:eastAsiaTheme="majorEastAsia"/>
              <w:bCs w:val="0"/>
              <w:i w:val="0"/>
              <w:iCs w:val="0"/>
              <w:szCs w:val="32"/>
              <w:highlight w:val="none"/>
              <w:lang w:val="en-US" w:eastAsia="zh-CN"/>
            </w:rPr>
            <w:t>5</w:t>
          </w:r>
          <w:r>
            <w:rPr>
              <w:rFonts w:hint="default" w:ascii="Times New Roman" w:hAnsi="Times New Roman" w:cs="Times New Roman" w:eastAsiaTheme="majorEastAsia"/>
              <w:bCs w:val="0"/>
              <w:i w:val="0"/>
              <w:iCs w:val="0"/>
              <w:szCs w:val="32"/>
              <w:highlight w:val="none"/>
            </w:rPr>
            <w:t xml:space="preserve"> </w:t>
          </w:r>
          <w:r>
            <w:rPr>
              <w:rFonts w:hint="default" w:ascii="Times New Roman" w:hAnsi="Times New Roman" w:cs="Times New Roman" w:eastAsiaTheme="majorEastAsia"/>
              <w:bCs w:val="0"/>
              <w:i w:val="0"/>
              <w:iCs w:val="0"/>
              <w:szCs w:val="32"/>
              <w:highlight w:val="none"/>
              <w:lang w:val="en-US" w:eastAsia="zh-CN"/>
            </w:rPr>
            <w:t>验收期间生产工况</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_Toc32370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67</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5070D199">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_Toc13067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kern w:val="44"/>
              <w:szCs w:val="32"/>
              <w:lang w:val="en-US" w:eastAsia="zh-CN" w:bidi="ar-SA"/>
            </w:rPr>
            <w:t>附件6 城镇污水排入排水管网许可证</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_Toc13067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71</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6EF5B37F">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_Toc21343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kern w:val="44"/>
              <w:szCs w:val="32"/>
              <w:lang w:val="en-US" w:eastAsia="zh-CN" w:bidi="ar-SA"/>
            </w:rPr>
            <w:t>附件7 废气处理设施设计方案</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_Toc21343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72</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1B69E78">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_Toc16313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szCs w:val="32"/>
              <w:highlight w:val="none"/>
            </w:rPr>
            <w:t>附件</w:t>
          </w:r>
          <w:r>
            <w:rPr>
              <w:rFonts w:hint="default" w:ascii="Times New Roman" w:hAnsi="Times New Roman" w:cs="Times New Roman" w:eastAsiaTheme="majorEastAsia"/>
              <w:bCs w:val="0"/>
              <w:i w:val="0"/>
              <w:iCs w:val="0"/>
              <w:szCs w:val="32"/>
              <w:highlight w:val="none"/>
              <w:lang w:val="en-US" w:eastAsia="zh-CN"/>
            </w:rPr>
            <w:t>8</w:t>
          </w:r>
          <w:r>
            <w:rPr>
              <w:rFonts w:hint="default" w:ascii="Times New Roman" w:hAnsi="Times New Roman" w:cs="Times New Roman" w:eastAsiaTheme="majorEastAsia"/>
              <w:bCs w:val="0"/>
              <w:i w:val="0"/>
              <w:iCs w:val="0"/>
              <w:szCs w:val="32"/>
              <w:highlight w:val="none"/>
            </w:rPr>
            <w:t xml:space="preserve"> 试生产公示</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_Toc16313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73</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0782398B">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_Toc15260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szCs w:val="32"/>
              <w:highlight w:val="none"/>
            </w:rPr>
            <w:t>附件</w:t>
          </w:r>
          <w:r>
            <w:rPr>
              <w:rFonts w:hint="default" w:ascii="Times New Roman" w:hAnsi="Times New Roman" w:cs="Times New Roman" w:eastAsiaTheme="majorEastAsia"/>
              <w:bCs w:val="0"/>
              <w:i w:val="0"/>
              <w:iCs w:val="0"/>
              <w:szCs w:val="32"/>
              <w:highlight w:val="none"/>
              <w:lang w:val="en-US" w:eastAsia="zh-CN"/>
            </w:rPr>
            <w:t>9</w:t>
          </w:r>
          <w:r>
            <w:rPr>
              <w:rFonts w:hint="default" w:ascii="Times New Roman" w:hAnsi="Times New Roman" w:cs="Times New Roman" w:eastAsiaTheme="majorEastAsia"/>
              <w:bCs w:val="0"/>
              <w:i w:val="0"/>
              <w:iCs w:val="0"/>
              <w:szCs w:val="32"/>
              <w:highlight w:val="none"/>
            </w:rPr>
            <w:t xml:space="preserve"> 验收意见及签到表</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_Toc15260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74</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534A8056">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_Toc19028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szCs w:val="32"/>
            </w:rPr>
            <w:t>附件</w:t>
          </w:r>
          <w:r>
            <w:rPr>
              <w:rFonts w:hint="default" w:ascii="Times New Roman" w:hAnsi="Times New Roman" w:cs="Times New Roman" w:eastAsiaTheme="majorEastAsia"/>
              <w:bCs w:val="0"/>
              <w:i w:val="0"/>
              <w:iCs w:val="0"/>
              <w:szCs w:val="32"/>
              <w:lang w:val="en-US" w:eastAsia="zh-CN"/>
            </w:rPr>
            <w:t>10</w:t>
          </w:r>
          <w:r>
            <w:rPr>
              <w:rFonts w:hint="default" w:ascii="Times New Roman" w:hAnsi="Times New Roman" w:cs="Times New Roman" w:eastAsiaTheme="majorEastAsia"/>
              <w:bCs w:val="0"/>
              <w:i w:val="0"/>
              <w:iCs w:val="0"/>
              <w:szCs w:val="32"/>
            </w:rPr>
            <w:t xml:space="preserve"> 验收公示截图</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_Toc19028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75</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7329495C">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_Toc1911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szCs w:val="32"/>
              <w:highlight w:val="none"/>
            </w:rPr>
            <w:t>附件</w:t>
          </w:r>
          <w:r>
            <w:rPr>
              <w:rFonts w:hint="default" w:ascii="Times New Roman" w:hAnsi="Times New Roman" w:cs="Times New Roman" w:eastAsiaTheme="majorEastAsia"/>
              <w:bCs w:val="0"/>
              <w:i w:val="0"/>
              <w:iCs w:val="0"/>
              <w:szCs w:val="32"/>
              <w:highlight w:val="none"/>
              <w:lang w:val="en-US" w:eastAsia="zh-CN"/>
            </w:rPr>
            <w:t>11</w:t>
          </w:r>
          <w:r>
            <w:rPr>
              <w:rFonts w:hint="default" w:ascii="Times New Roman" w:hAnsi="Times New Roman" w:cs="Times New Roman" w:eastAsiaTheme="majorEastAsia"/>
              <w:bCs w:val="0"/>
              <w:i w:val="0"/>
              <w:iCs w:val="0"/>
              <w:szCs w:val="32"/>
              <w:highlight w:val="none"/>
            </w:rPr>
            <w:t xml:space="preserve"> 其他需要说明的事项</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_Toc1911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76</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31DACE87">
          <w:pPr>
            <w:pStyle w:val="21"/>
            <w:tabs>
              <w:tab w:val="right" w:leader="dot" w:pos="8306"/>
            </w:tabs>
            <w:rPr>
              <w:rFonts w:hint="default" w:ascii="Times New Roman" w:hAnsi="Times New Roman" w:cs="Times New Roman"/>
              <w:i w:val="0"/>
              <w:iCs w:val="0"/>
            </w:rPr>
          </w:pPr>
          <w:r>
            <w:rPr>
              <w:rFonts w:hint="default" w:ascii="Times New Roman" w:hAnsi="Times New Roman" w:eastAsia="宋体" w:cs="Times New Roman"/>
              <w:i w:val="0"/>
              <w:iCs w:val="0"/>
              <w:szCs w:val="21"/>
            </w:rPr>
            <w:fldChar w:fldCharType="begin"/>
          </w:r>
          <w:r>
            <w:rPr>
              <w:rFonts w:hint="default" w:ascii="Times New Roman" w:hAnsi="Times New Roman" w:eastAsia="宋体" w:cs="Times New Roman"/>
              <w:i w:val="0"/>
              <w:iCs w:val="0"/>
              <w:szCs w:val="21"/>
            </w:rPr>
            <w:instrText xml:space="preserve"> HYPERLINK \l _Toc729 </w:instrText>
          </w:r>
          <w:r>
            <w:rPr>
              <w:rFonts w:hint="default" w:ascii="Times New Roman" w:hAnsi="Times New Roman" w:eastAsia="宋体" w:cs="Times New Roman"/>
              <w:i w:val="0"/>
              <w:iCs w:val="0"/>
              <w:szCs w:val="21"/>
            </w:rPr>
            <w:fldChar w:fldCharType="separate"/>
          </w:r>
          <w:r>
            <w:rPr>
              <w:rFonts w:hint="default" w:ascii="Times New Roman" w:hAnsi="Times New Roman" w:cs="Times New Roman" w:eastAsiaTheme="majorEastAsia"/>
              <w:bCs w:val="0"/>
              <w:i w:val="0"/>
              <w:iCs w:val="0"/>
              <w:kern w:val="44"/>
              <w:szCs w:val="32"/>
              <w:highlight w:val="none"/>
              <w:lang w:val="en-US" w:eastAsia="zh-CN" w:bidi="ar-SA"/>
            </w:rPr>
            <w:t>附件12 检测报告</w:t>
          </w:r>
          <w:r>
            <w:rPr>
              <w:rFonts w:hint="default" w:ascii="Times New Roman" w:hAnsi="Times New Roman" w:cs="Times New Roman"/>
              <w:i w:val="0"/>
              <w:iCs w:val="0"/>
            </w:rPr>
            <w:tab/>
          </w:r>
          <w:r>
            <w:rPr>
              <w:rFonts w:hint="default" w:ascii="Times New Roman" w:hAnsi="Times New Roman" w:cs="Times New Roman"/>
              <w:i w:val="0"/>
              <w:iCs w:val="0"/>
            </w:rPr>
            <w:fldChar w:fldCharType="begin"/>
          </w:r>
          <w:r>
            <w:rPr>
              <w:rFonts w:hint="default" w:ascii="Times New Roman" w:hAnsi="Times New Roman" w:cs="Times New Roman"/>
              <w:i w:val="0"/>
              <w:iCs w:val="0"/>
            </w:rPr>
            <w:instrText xml:space="preserve"> PAGEREF _Toc729 \h </w:instrText>
          </w:r>
          <w:r>
            <w:rPr>
              <w:rFonts w:hint="default" w:ascii="Times New Roman" w:hAnsi="Times New Roman" w:cs="Times New Roman"/>
              <w:i w:val="0"/>
              <w:iCs w:val="0"/>
            </w:rPr>
            <w:fldChar w:fldCharType="separate"/>
          </w:r>
          <w:r>
            <w:rPr>
              <w:rFonts w:hint="default" w:ascii="Times New Roman" w:hAnsi="Times New Roman" w:cs="Times New Roman"/>
              <w:i w:val="0"/>
              <w:iCs w:val="0"/>
            </w:rPr>
            <w:t>79</w:t>
          </w:r>
          <w:r>
            <w:rPr>
              <w:rFonts w:hint="default" w:ascii="Times New Roman" w:hAnsi="Times New Roman" w:cs="Times New Roman"/>
              <w:i w:val="0"/>
              <w:iCs w:val="0"/>
            </w:rPr>
            <w:fldChar w:fldCharType="end"/>
          </w:r>
          <w:r>
            <w:rPr>
              <w:rFonts w:hint="default" w:ascii="Times New Roman" w:hAnsi="Times New Roman" w:eastAsia="宋体" w:cs="Times New Roman"/>
              <w:i w:val="0"/>
              <w:iCs w:val="0"/>
              <w:szCs w:val="21"/>
            </w:rPr>
            <w:fldChar w:fldCharType="end"/>
          </w:r>
        </w:p>
        <w:p w14:paraId="44B64FA0">
          <w:pPr>
            <w:spacing w:line="360" w:lineRule="auto"/>
            <w:rPr>
              <w:rFonts w:hint="default" w:ascii="Times New Roman" w:hAnsi="Times New Roman" w:eastAsia="宋体" w:cs="Times New Roman"/>
              <w:i w:val="0"/>
              <w:iCs w:val="0"/>
            </w:rPr>
          </w:pPr>
          <w:r>
            <w:rPr>
              <w:rFonts w:hint="default" w:ascii="Times New Roman" w:hAnsi="Times New Roman" w:eastAsia="宋体" w:cs="Times New Roman"/>
              <w:i w:val="0"/>
              <w:iCs w:val="0"/>
              <w:szCs w:val="21"/>
            </w:rPr>
            <w:fldChar w:fldCharType="end"/>
          </w:r>
        </w:p>
      </w:sdtContent>
    </w:sdt>
    <w:p w14:paraId="6B739D78">
      <w:pPr>
        <w:spacing w:line="360" w:lineRule="auto"/>
        <w:rPr>
          <w:rFonts w:ascii="Calibri" w:hAnsi="Calibri" w:eastAsia="宋体" w:cs="Times New Roman"/>
          <w:smallCaps/>
          <w:color w:val="0000FF"/>
          <w:sz w:val="20"/>
          <w:szCs w:val="20"/>
        </w:rPr>
      </w:pPr>
    </w:p>
    <w:p w14:paraId="05874B41">
      <w:pPr>
        <w:spacing w:line="360" w:lineRule="auto"/>
        <w:rPr>
          <w:rFonts w:ascii="Times New Roman" w:hAnsi="Times New Roman" w:cs="Times New Roman"/>
          <w:sz w:val="24"/>
          <w:szCs w:val="24"/>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52258E22">
      <w:pPr>
        <w:pStyle w:val="4"/>
      </w:pPr>
      <w:bookmarkStart w:id="3" w:name="_Toc15073"/>
      <w:r>
        <w:rPr>
          <w:rFonts w:hint="eastAsia"/>
        </w:rPr>
        <w:t>1项目概况</w:t>
      </w:r>
      <w:bookmarkEnd w:id="3"/>
    </w:p>
    <w:p w14:paraId="03066F12">
      <w:pPr>
        <w:pStyle w:val="5"/>
        <w:rPr>
          <w:rFonts w:hint="eastAsia" w:eastAsia="宋体"/>
          <w:lang w:val="en-US"/>
        </w:rPr>
      </w:pPr>
      <w:bookmarkStart w:id="4" w:name="_Toc30027"/>
      <w:bookmarkStart w:id="5" w:name="_Hlk133396231"/>
      <w:r>
        <w:rPr>
          <w:rFonts w:hint="eastAsia" w:eastAsia="宋体"/>
          <w:lang w:val="en-US"/>
        </w:rPr>
        <w:t>1.1基本情况</w:t>
      </w:r>
      <w:bookmarkEnd w:id="4"/>
    </w:p>
    <w:p w14:paraId="2A83B871">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汇鼎新材料有限公司成立于2017年12月，位于磐安县尖山镇塑料产业园一街96号，是一家从事耐碱玻纤网格布制造、销售的企业，适用于水泥，石膏，墙体，建筑物和其它构筑物内外表面增强、防裂，是外墙保温工程的一种新型材料</w:t>
      </w:r>
      <w:r>
        <w:rPr>
          <w:rFonts w:hint="eastAsia" w:ascii="Times New Roman" w:hAnsi="Times New Roman" w:cs="Times New Roman"/>
          <w:color w:val="000000" w:themeColor="text1"/>
          <w:sz w:val="24"/>
          <w:szCs w:val="24"/>
          <w:lang w:val="en-US" w:eastAsia="zh-CN" w:bidi="zh-CN"/>
          <w14:textFill>
            <w14:solidFill>
              <w14:schemeClr w14:val="tx1"/>
            </w14:solidFill>
          </w14:textFill>
        </w:rPr>
        <w:t>。磐安县发展和改革局（物价局）已对本项目立项备案，备案号：2205-330727-07-01-286206。</w:t>
      </w:r>
    </w:p>
    <w:p w14:paraId="286E2943">
      <w:pPr>
        <w:pStyle w:val="5"/>
        <w:rPr>
          <w:rFonts w:hint="eastAsia" w:eastAsia="宋体"/>
          <w:lang w:val="en-US" w:eastAsia="zh-CN"/>
        </w:rPr>
      </w:pPr>
      <w:bookmarkStart w:id="6" w:name="_Toc11967"/>
      <w:r>
        <w:rPr>
          <w:rFonts w:hint="eastAsia" w:eastAsia="宋体"/>
          <w:lang w:val="en-US" w:eastAsia="zh-CN"/>
        </w:rPr>
        <w:t>1.2项目审批情况</w:t>
      </w:r>
      <w:bookmarkEnd w:id="6"/>
    </w:p>
    <w:p w14:paraId="2D5CBED7">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我公司原有“年产800万平方米耐碱网格布生产线项目”于2018年4月9日通过金华市生态环境局磐安分局（原磐安县环境保护局）审批，文号为磐环局[2018]21号，并于2019年完成竣工环境保护验收。</w:t>
      </w:r>
    </w:p>
    <w:p w14:paraId="3D23B7DF">
      <w:pPr>
        <w:spacing w:line="360" w:lineRule="auto"/>
        <w:ind w:firstLine="480"/>
        <w:rPr>
          <w:rFonts w:hint="eastAsia" w:ascii="Times New Roman" w:hAnsi="Times New Roman" w:cs="Times New Roman"/>
          <w:color w:val="000000" w:themeColor="text1"/>
          <w:sz w:val="24"/>
          <w:szCs w:val="24"/>
          <w:highlight w:val="red"/>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随着玻纤制品的市场需求量逐渐增加，我公司利用位于磐安县尖山镇塑料产业园一街96号自有地块新建厂房进行迁建。2023年01月，我公司委托</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杭州一达环保技术咨询服务有限公司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编制了《浙江汇鼎新材料有限公司年产10000万平方米耐碱玻纤网格布项目环境影响报告表》，</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于2023年01月18日通过金华市生态环境局审批（金环建磐〔2023〕1号）。我公司于2024年12月16日申领排污许可证，证书编号为：91330727MA29QM22XU001W。</w:t>
      </w:r>
    </w:p>
    <w:p w14:paraId="23AB79E4">
      <w:pPr>
        <w:pStyle w:val="5"/>
        <w:rPr>
          <w:rFonts w:hint="default" w:eastAsia="宋体"/>
          <w:lang w:val="en-US" w:eastAsia="zh-CN"/>
        </w:rPr>
      </w:pPr>
      <w:bookmarkStart w:id="7" w:name="_Toc11518"/>
      <w:r>
        <w:rPr>
          <w:rFonts w:hint="eastAsia" w:eastAsia="宋体"/>
          <w:lang w:val="en-US" w:eastAsia="zh-CN"/>
        </w:rPr>
        <w:t>1.3项目建设情况</w:t>
      </w:r>
      <w:bookmarkEnd w:id="7"/>
    </w:p>
    <w:bookmarkEnd w:id="5"/>
    <w:p w14:paraId="4C6C5CF4">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我公司利用位于磐安县尖山镇塑料产业园一街96号自有地块新建厂房进行迁建，本项目实际总投资</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4300万元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，实际环保投资</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25万元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购置智能玻纤整经机、涂覆上胶机等先进设备实施耐碱玻纤网格布生产，建设生产线。本项目建成后原厂址磐安工业园区玉屏街6号，年产800万平方米耐碱网格布生产线整体淘汰。本项目于2023年02月开工建设，至2024年08月30日竣工，2024年09月01日至2024年09月15日完成调试，于2024年10月08日投入试生产。由于部分设备未建设，建成后形成“年产2000万平方米耐碱玻纤网格布”的生产能力。</w:t>
      </w:r>
    </w:p>
    <w:p w14:paraId="1E745C1D">
      <w:pPr>
        <w:spacing w:line="360" w:lineRule="auto"/>
        <w:ind w:firstLine="480"/>
        <w:rPr>
          <w:rFonts w:hint="default"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本项目全厂员工人数</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36人</w:t>
      </w:r>
      <w:r>
        <w:rPr>
          <w:rFonts w:hint="eastAsia" w:ascii="Times New Roman" w:hAnsi="Times New Roman" w:cs="Times New Roman"/>
          <w:color w:val="000000" w:themeColor="text1"/>
          <w:sz w:val="24"/>
          <w:szCs w:val="24"/>
          <w:lang w:val="en-US" w:eastAsia="zh-CN" w:bidi="zh-CN"/>
          <w14:textFill>
            <w14:solidFill>
              <w14:schemeClr w14:val="tx1"/>
            </w14:solidFill>
          </w14:textFill>
        </w:rPr>
        <w:t>，采用单班制生产，日作业时间为8h（夜间不生产），年工作300天，企业设食堂、宿舍等生活配套设施，食堂仅提供蒸饭服务。</w:t>
      </w:r>
    </w:p>
    <w:p w14:paraId="7D35FAAF">
      <w:pPr>
        <w:pStyle w:val="5"/>
        <w:rPr>
          <w:rFonts w:hint="default" w:eastAsia="宋体"/>
          <w:lang w:val="en-US" w:eastAsia="zh-CN"/>
        </w:rPr>
      </w:pPr>
      <w:bookmarkStart w:id="8" w:name="_Toc17501"/>
      <w:bookmarkStart w:id="9" w:name="_Hlk126492922"/>
      <w:r>
        <w:rPr>
          <w:rFonts w:hint="eastAsia" w:eastAsia="宋体"/>
          <w:lang w:val="en-US" w:eastAsia="zh-CN"/>
        </w:rPr>
        <w:t>1.4项目验收工作情况</w:t>
      </w:r>
      <w:bookmarkEnd w:id="8"/>
    </w:p>
    <w:bookmarkEnd w:id="9"/>
    <w:p w14:paraId="12503B70">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我公司编制完成验收监测方案后委托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2024年12月18日-19日</w:t>
      </w:r>
      <w:r>
        <w:rPr>
          <w:rFonts w:hint="eastAsia" w:ascii="Times New Roman" w:hAnsi="Times New Roman" w:cs="Times New Roman"/>
          <w:color w:val="000000" w:themeColor="text1"/>
          <w:sz w:val="24"/>
          <w:szCs w:val="24"/>
          <w:lang w:val="en-US" w:bidi="zh-CN"/>
          <w14:textFill>
            <w14:solidFill>
              <w14:schemeClr w14:val="tx1"/>
            </w14:solidFill>
          </w14:textFill>
        </w:rPr>
        <w:t>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废水处理设施、废气处理设施、厂界无组织废气和厂界噪声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w:t>
      </w:r>
      <w:r>
        <w:rPr>
          <w:rFonts w:hint="default" w:ascii="Times New Roman" w:hAnsi="Times New Roman" w:cs="Times New Roman"/>
          <w:color w:val="000000" w:themeColor="text1"/>
          <w:sz w:val="24"/>
          <w:szCs w:val="24"/>
          <w:lang w:bidi="zh-CN"/>
          <w14:textFill>
            <w14:solidFill>
              <w14:schemeClr w14:val="tx1"/>
            </w14:solidFill>
          </w14:textFill>
        </w:rPr>
        <w:t>验收监测报告</w:t>
      </w:r>
      <w:r>
        <w:rPr>
          <w:rFonts w:ascii="Times New Roman" w:hAnsi="Times New Roman" w:cs="Times New Roman"/>
          <w:color w:val="000000" w:themeColor="text1"/>
          <w:sz w:val="24"/>
          <w:szCs w:val="24"/>
          <w:lang w:bidi="zh-CN"/>
          <w14:textFill>
            <w14:solidFill>
              <w14:schemeClr w14:val="tx1"/>
            </w14:solidFill>
          </w14:textFill>
        </w:rPr>
        <w:t>。</w:t>
      </w:r>
    </w:p>
    <w:p w14:paraId="08207BC4">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b/>
          <w:bCs/>
          <w:color w:val="000000" w:themeColor="text1"/>
          <w:sz w:val="24"/>
          <w:szCs w:val="24"/>
          <w:lang w:val="en-US" w:bidi="zh-CN"/>
          <w14:textFill>
            <w14:solidFill>
              <w14:schemeClr w14:val="tx1"/>
            </w14:solidFill>
          </w14:textFill>
        </w:rPr>
        <w:t>本次验收为对“浙江汇鼎新材料有限公司</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年产2000万平方米耐碱玻纤网格布项目</w:t>
      </w:r>
      <w:r>
        <w:rPr>
          <w:rFonts w:hint="eastAsia" w:ascii="Times New Roman" w:hAnsi="Times New Roman" w:cs="Times New Roman"/>
          <w:b/>
          <w:bCs/>
          <w:color w:val="000000" w:themeColor="text1"/>
          <w:sz w:val="24"/>
          <w:szCs w:val="24"/>
          <w:lang w:val="en-US" w:bidi="zh-CN"/>
          <w14:textFill>
            <w14:solidFill>
              <w14:schemeClr w14:val="tx1"/>
            </w14:solidFill>
          </w14:textFill>
        </w:rPr>
        <w:t>”的先行验收</w:t>
      </w:r>
      <w:r>
        <w:rPr>
          <w:rFonts w:hint="default" w:ascii="Times New Roman" w:hAnsi="Times New Roman" w:eastAsia="宋体" w:cs="Times New Roman"/>
          <w:b/>
          <w:bCs/>
          <w:color w:val="auto"/>
          <w:kern w:val="0"/>
          <w:sz w:val="24"/>
          <w:szCs w:val="24"/>
        </w:rPr>
        <w:t>。</w:t>
      </w:r>
    </w:p>
    <w:p w14:paraId="48AC345E">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14:paraId="47536BC5">
      <w:pPr>
        <w:pStyle w:val="4"/>
      </w:pPr>
      <w:r>
        <w:br w:type="page"/>
      </w:r>
      <w:bookmarkStart w:id="10" w:name="_Toc21019"/>
      <w:r>
        <w:rPr>
          <w:rFonts w:hint="eastAsia"/>
        </w:rPr>
        <w:t>2验收依据</w:t>
      </w:r>
      <w:bookmarkEnd w:id="10"/>
    </w:p>
    <w:p w14:paraId="29663F55">
      <w:pPr>
        <w:pStyle w:val="5"/>
        <w:rPr>
          <w:rFonts w:eastAsia="宋体"/>
          <w:highlight w:val="none"/>
        </w:rPr>
      </w:pPr>
      <w:bookmarkStart w:id="11" w:name="_Toc9651"/>
      <w:bookmarkStart w:id="12" w:name="_Toc20591"/>
      <w:bookmarkStart w:id="13" w:name="_Toc17244"/>
      <w:bookmarkStart w:id="14" w:name="_Toc20164"/>
      <w:r>
        <w:rPr>
          <w:rFonts w:eastAsia="宋体"/>
        </w:rPr>
        <w:t>2.1建设项目环境保护相关法</w:t>
      </w:r>
      <w:r>
        <w:rPr>
          <w:rFonts w:eastAsia="宋体"/>
          <w:highlight w:val="none"/>
        </w:rPr>
        <w:t>律、法规</w:t>
      </w:r>
      <w:bookmarkEnd w:id="11"/>
      <w:bookmarkEnd w:id="12"/>
      <w:bookmarkEnd w:id="13"/>
      <w:r>
        <w:rPr>
          <w:rFonts w:eastAsia="宋体"/>
          <w:highlight w:val="none"/>
        </w:rPr>
        <w:t>和规章制度</w:t>
      </w:r>
      <w:bookmarkEnd w:id="14"/>
    </w:p>
    <w:p w14:paraId="76DF5D8B">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5" w:name="_Toc18677"/>
      <w:bookmarkStart w:id="16" w:name="_Toc30754"/>
      <w:bookmarkStart w:id="17" w:name="_Toc73"/>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14:paraId="5419DD1B">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14:paraId="26DC925E">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（3）《关于发布&lt;建设项目竣工环境保护验收暂行办法&gt;的决定》（环境保护部 国环规环评[2017]4号，2017年11月20日起实施）；</w:t>
      </w:r>
    </w:p>
    <w:p w14:paraId="453EA865">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（4）《浙江省人民政府关于修改&lt;浙江省建设项目环境保护管理办法&gt;的决定》（浙江省人民政府令第388号[2021年修正]，2021年2月10日起实施)；</w:t>
      </w:r>
    </w:p>
    <w:p w14:paraId="7F8BD43E">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（5）关于印发《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14:paraId="2F516F20">
      <w:pPr>
        <w:pStyle w:val="5"/>
        <w:rPr>
          <w:rFonts w:eastAsia="宋体"/>
          <w:highlight w:val="none"/>
        </w:rPr>
      </w:pPr>
      <w:bookmarkStart w:id="18" w:name="_Toc17102"/>
      <w:r>
        <w:rPr>
          <w:rFonts w:eastAsia="宋体"/>
          <w:highlight w:val="none"/>
        </w:rPr>
        <w:t>2.2建设项目竣工环境保护验收技术规范</w:t>
      </w:r>
      <w:bookmarkEnd w:id="15"/>
      <w:bookmarkEnd w:id="16"/>
      <w:bookmarkEnd w:id="17"/>
      <w:bookmarkEnd w:id="18"/>
    </w:p>
    <w:p w14:paraId="3B72E1B6">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 污染影响类》（生态环境部公告2018年 第9号）</w:t>
      </w:r>
      <w:r>
        <w:rPr>
          <w:rFonts w:hint="eastAsia" w:ascii="Times New Roman" w:hAnsi="Times New Roman" w:eastAsia="宋体" w:cs="Times New Roman"/>
          <w:kern w:val="0"/>
          <w:sz w:val="24"/>
          <w:highlight w:val="none"/>
          <w:lang w:eastAsia="zh-CN"/>
        </w:rPr>
        <w:t>；</w:t>
      </w:r>
    </w:p>
    <w:p w14:paraId="650D1828">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14:paraId="11A81B38">
      <w:pPr>
        <w:pStyle w:val="5"/>
        <w:rPr>
          <w:rFonts w:eastAsia="宋体"/>
        </w:rPr>
      </w:pPr>
      <w:bookmarkStart w:id="19" w:name="_Toc2924"/>
      <w:bookmarkStart w:id="20" w:name="_Toc23835"/>
      <w:bookmarkStart w:id="21" w:name="_Toc3185"/>
      <w:bookmarkStart w:id="22" w:name="_Toc21901"/>
      <w:r>
        <w:rPr>
          <w:rFonts w:eastAsia="宋体"/>
        </w:rPr>
        <w:t>2.3建设</w:t>
      </w:r>
      <w:r>
        <w:rPr>
          <w:rFonts w:hint="eastAsia" w:eastAsia="宋体"/>
        </w:rPr>
        <w:t>项目</w:t>
      </w:r>
      <w:r>
        <w:rPr>
          <w:rFonts w:hint="eastAsia" w:eastAsia="宋体"/>
          <w:lang w:eastAsia="zh-CN"/>
        </w:rPr>
        <w:t>环境影响报告表</w:t>
      </w:r>
      <w:r>
        <w:rPr>
          <w:rFonts w:eastAsia="宋体"/>
        </w:rPr>
        <w:t>及其审批部门</w:t>
      </w:r>
      <w:bookmarkEnd w:id="19"/>
      <w:bookmarkEnd w:id="20"/>
      <w:bookmarkEnd w:id="21"/>
      <w:r>
        <w:rPr>
          <w:rFonts w:eastAsia="宋体"/>
        </w:rPr>
        <w:t>审批决定</w:t>
      </w:r>
      <w:bookmarkEnd w:id="22"/>
    </w:p>
    <w:p w14:paraId="21171125">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3" w:name="_Hlk528872215"/>
      <w:r>
        <w:rPr>
          <w:rFonts w:hint="eastAsia" w:ascii="Times New Roman" w:hAnsi="Times New Roman" w:eastAsia="宋体" w:cs="Times New Roman"/>
          <w:kern w:val="0"/>
          <w:sz w:val="24"/>
        </w:rPr>
        <w:t>（1）《</w:t>
      </w:r>
      <w:r>
        <w:rPr>
          <w:rFonts w:hint="eastAsia" w:ascii="Times New Roman" w:hAnsi="Times New Roman" w:eastAsia="宋体" w:cs="Times New Roman"/>
          <w:kern w:val="0"/>
          <w:sz w:val="24"/>
          <w:lang w:eastAsia="zh-CN"/>
        </w:rPr>
        <w:t>浙江汇鼎新材料有限公司年产10000万平方米耐碱玻纤网格布项目环境影响报告表</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highlight w:val="none"/>
          <w:lang w:eastAsia="zh-CN"/>
        </w:rPr>
        <w:t>（杭州一达环保技术咨询服务有限公司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2023</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01</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14:paraId="3C7399EF">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w:t>
      </w:r>
      <w:r>
        <w:rPr>
          <w:rFonts w:hint="eastAsia" w:ascii="Times New Roman" w:hAnsi="Times New Roman" w:eastAsia="宋体" w:cs="Times New Roman"/>
          <w:kern w:val="0"/>
          <w:sz w:val="24"/>
          <w:lang w:val="en-US" w:eastAsia="zh-CN"/>
        </w:rPr>
        <w:t>关于浙江汇鼎新材料有限公司年产10000万平方米耐碱玻纤网格布项目环境影响报告表的审查意见</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金华市生态环境局，</w:t>
      </w:r>
      <w:r>
        <w:rPr>
          <w:rFonts w:hint="eastAsia" w:ascii="Times New Roman" w:hAnsi="Times New Roman" w:eastAsia="宋体" w:cs="Times New Roman"/>
          <w:kern w:val="0"/>
          <w:sz w:val="24"/>
          <w:lang w:eastAsia="zh-CN"/>
        </w:rPr>
        <w:t>金环建磐〔2023〕1号，</w:t>
      </w:r>
      <w:r>
        <w:rPr>
          <w:rFonts w:hint="eastAsia" w:ascii="Times New Roman" w:hAnsi="Times New Roman" w:eastAsia="宋体" w:cs="Times New Roman"/>
          <w:kern w:val="0"/>
          <w:sz w:val="24"/>
          <w:lang w:val="en-US" w:eastAsia="zh-CN"/>
        </w:rPr>
        <w:t>2023年01月18日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3"/>
    <w:p w14:paraId="2C5C2B5C">
      <w:pPr>
        <w:pStyle w:val="5"/>
        <w:rPr>
          <w:rFonts w:eastAsia="宋体"/>
        </w:rPr>
      </w:pPr>
      <w:bookmarkStart w:id="24" w:name="_Toc2540"/>
      <w:r>
        <w:rPr>
          <w:rFonts w:eastAsia="宋体"/>
        </w:rPr>
        <w:t>2.4其他相关文件</w:t>
      </w:r>
      <w:bookmarkEnd w:id="24"/>
    </w:p>
    <w:p w14:paraId="5B3ADC9B">
      <w:pPr>
        <w:widowControl/>
        <w:adjustRightInd w:val="0"/>
        <w:snapToGrid w:val="0"/>
        <w:spacing w:line="360" w:lineRule="auto"/>
        <w:ind w:firstLine="480" w:firstLineChars="200"/>
        <w:rPr>
          <w:rFonts w:hint="eastAsia" w:ascii="Times New Roman" w:hAnsi="Times New Roman" w:eastAsia="宋体" w:cs="Times New Roman"/>
          <w:kern w:val="0"/>
          <w:sz w:val="24"/>
          <w:lang w:eastAsia="zh-CN"/>
        </w:rPr>
      </w:pP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lang w:val="en-US" w:eastAsia="zh-CN"/>
        </w:rPr>
        <w:t>1</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检测报告》（高鑫（验）字20240905）（浙江高鑫安全检测科技有限公司</w:t>
      </w:r>
      <w:r>
        <w:rPr>
          <w:rFonts w:hint="eastAsia" w:ascii="Times New Roman" w:hAnsi="Times New Roman" w:eastAsia="宋体" w:cs="Times New Roman"/>
          <w:kern w:val="0"/>
          <w:sz w:val="24"/>
          <w:lang w:val="en-US" w:eastAsia="zh-CN"/>
        </w:rPr>
        <w:t>编制，2024年12月</w:t>
      </w:r>
      <w:r>
        <w:rPr>
          <w:rFonts w:hint="eastAsia" w:ascii="Times New Roman" w:hAnsi="Times New Roman" w:eastAsia="宋体" w:cs="Times New Roman"/>
          <w:kern w:val="0"/>
          <w:sz w:val="24"/>
          <w:lang w:eastAsia="zh-CN"/>
        </w:rPr>
        <w:t>）；</w:t>
      </w:r>
    </w:p>
    <w:p w14:paraId="2EB183FF">
      <w:pPr>
        <w:widowControl/>
        <w:adjustRightInd w:val="0"/>
        <w:snapToGrid w:val="0"/>
        <w:spacing w:line="360" w:lineRule="auto"/>
        <w:ind w:firstLine="480" w:firstLineChars="200"/>
        <w:rPr>
          <w:rFonts w:hint="eastAsia" w:ascii="Times New Roman" w:hAnsi="Times New Roman" w:eastAsia="宋体" w:cs="Times New Roman"/>
          <w:kern w:val="0"/>
          <w:sz w:val="24"/>
          <w:lang w:val="en-US" w:eastAsia="zh-CN"/>
        </w:rPr>
      </w:pPr>
    </w:p>
    <w:p w14:paraId="4C3ADADC">
      <w:pPr>
        <w:pStyle w:val="14"/>
        <w:rPr>
          <w:rFonts w:hint="eastAsia" w:ascii="Times New Roman" w:hAnsi="Times New Roman" w:eastAsia="宋体" w:cs="Times New Roman"/>
          <w:kern w:val="0"/>
          <w:sz w:val="24"/>
        </w:rPr>
      </w:pPr>
    </w:p>
    <w:p w14:paraId="5229B78E">
      <w:pPr>
        <w:pStyle w:val="14"/>
        <w:rPr>
          <w:rFonts w:hint="eastAsia" w:ascii="Times New Roman" w:hAnsi="Times New Roman" w:eastAsia="宋体" w:cs="Times New Roman"/>
          <w:kern w:val="0"/>
          <w:sz w:val="24"/>
        </w:rPr>
      </w:pPr>
    </w:p>
    <w:p w14:paraId="288BCFE7">
      <w:pPr>
        <w:pStyle w:val="14"/>
        <w:rPr>
          <w:rFonts w:hint="eastAsia" w:ascii="Times New Roman" w:hAnsi="Times New Roman" w:eastAsia="宋体" w:cs="Times New Roman"/>
          <w:kern w:val="0"/>
          <w:sz w:val="24"/>
        </w:rPr>
      </w:pPr>
    </w:p>
    <w:p w14:paraId="7354C428">
      <w:pPr>
        <w:pStyle w:val="14"/>
        <w:rPr>
          <w:rFonts w:hint="eastAsia" w:ascii="Times New Roman" w:hAnsi="Times New Roman" w:eastAsia="宋体" w:cs="Times New Roman"/>
          <w:kern w:val="0"/>
          <w:sz w:val="24"/>
        </w:rPr>
      </w:pPr>
    </w:p>
    <w:p w14:paraId="2A9F9367">
      <w:pPr>
        <w:pStyle w:val="14"/>
        <w:rPr>
          <w:rFonts w:hint="eastAsia" w:ascii="Times New Roman" w:hAnsi="Times New Roman" w:eastAsia="宋体" w:cs="Times New Roman"/>
          <w:kern w:val="0"/>
          <w:sz w:val="24"/>
        </w:rPr>
      </w:pPr>
    </w:p>
    <w:p w14:paraId="786A77FF">
      <w:pPr>
        <w:pStyle w:val="14"/>
        <w:rPr>
          <w:rFonts w:hint="eastAsia" w:ascii="Times New Roman" w:hAnsi="Times New Roman" w:eastAsia="宋体" w:cs="Times New Roman"/>
          <w:kern w:val="0"/>
          <w:sz w:val="24"/>
        </w:rPr>
      </w:pPr>
    </w:p>
    <w:p w14:paraId="05484546">
      <w:pPr>
        <w:pStyle w:val="14"/>
        <w:rPr>
          <w:rFonts w:hint="eastAsia" w:ascii="Times New Roman" w:hAnsi="Times New Roman" w:eastAsia="宋体" w:cs="Times New Roman"/>
          <w:kern w:val="0"/>
          <w:sz w:val="24"/>
        </w:rPr>
      </w:pPr>
    </w:p>
    <w:p w14:paraId="5EF9FE18">
      <w:pPr>
        <w:pStyle w:val="14"/>
        <w:rPr>
          <w:rFonts w:hint="eastAsia" w:ascii="Times New Roman" w:hAnsi="Times New Roman" w:eastAsia="宋体" w:cs="Times New Roman"/>
          <w:kern w:val="0"/>
          <w:sz w:val="24"/>
        </w:rPr>
      </w:pPr>
    </w:p>
    <w:p w14:paraId="0BFAC51D">
      <w:pPr>
        <w:pStyle w:val="14"/>
        <w:rPr>
          <w:rFonts w:hint="eastAsia" w:ascii="Times New Roman" w:hAnsi="Times New Roman" w:eastAsia="宋体" w:cs="Times New Roman"/>
          <w:kern w:val="0"/>
          <w:sz w:val="24"/>
        </w:rPr>
      </w:pPr>
    </w:p>
    <w:p w14:paraId="79690169">
      <w:pPr>
        <w:pStyle w:val="14"/>
        <w:rPr>
          <w:rFonts w:hint="eastAsia" w:ascii="Times New Roman" w:hAnsi="Times New Roman" w:eastAsia="宋体" w:cs="Times New Roman"/>
          <w:kern w:val="0"/>
          <w:sz w:val="24"/>
        </w:rPr>
      </w:pPr>
    </w:p>
    <w:p w14:paraId="72B718B9">
      <w:pPr>
        <w:pStyle w:val="14"/>
        <w:rPr>
          <w:rFonts w:hint="eastAsia" w:ascii="Times New Roman" w:hAnsi="Times New Roman" w:eastAsia="宋体" w:cs="Times New Roman"/>
          <w:kern w:val="0"/>
          <w:sz w:val="24"/>
        </w:rPr>
      </w:pPr>
    </w:p>
    <w:p w14:paraId="0DAE8B56">
      <w:pPr>
        <w:pStyle w:val="14"/>
        <w:rPr>
          <w:rFonts w:hint="eastAsia" w:ascii="Times New Roman" w:hAnsi="Times New Roman" w:eastAsia="宋体" w:cs="Times New Roman"/>
          <w:kern w:val="0"/>
          <w:sz w:val="24"/>
        </w:rPr>
      </w:pPr>
    </w:p>
    <w:p w14:paraId="15138735">
      <w:pPr>
        <w:pStyle w:val="14"/>
        <w:rPr>
          <w:rFonts w:hint="eastAsia" w:ascii="Times New Roman" w:hAnsi="Times New Roman" w:eastAsia="宋体" w:cs="Times New Roman"/>
          <w:kern w:val="0"/>
          <w:sz w:val="24"/>
        </w:rPr>
      </w:pPr>
    </w:p>
    <w:p w14:paraId="164CEB3B">
      <w:pPr>
        <w:pStyle w:val="14"/>
        <w:rPr>
          <w:rFonts w:hint="eastAsia" w:ascii="Times New Roman" w:hAnsi="Times New Roman" w:eastAsia="宋体" w:cs="Times New Roman"/>
          <w:kern w:val="0"/>
          <w:sz w:val="24"/>
        </w:rPr>
      </w:pPr>
    </w:p>
    <w:p w14:paraId="0E500B54">
      <w:pPr>
        <w:rPr>
          <w:rFonts w:hint="eastAsia"/>
        </w:rPr>
      </w:pPr>
    </w:p>
    <w:p w14:paraId="5052AC01">
      <w:pPr>
        <w:pStyle w:val="4"/>
        <w:rPr>
          <w:rFonts w:hint="default" w:eastAsiaTheme="minorEastAsia"/>
          <w:lang w:val="en-US" w:eastAsia="zh-CN"/>
        </w:rPr>
      </w:pPr>
      <w:bookmarkStart w:id="25" w:name="_Toc15214"/>
      <w:r>
        <w:rPr>
          <w:rFonts w:hint="eastAsia"/>
          <w:lang w:val="en-US" w:eastAsia="zh-CN"/>
        </w:rPr>
        <w:t>3项目建设情况</w:t>
      </w:r>
      <w:bookmarkEnd w:id="25"/>
    </w:p>
    <w:p w14:paraId="48CA8601">
      <w:pPr>
        <w:pStyle w:val="5"/>
        <w:rPr>
          <w:rFonts w:eastAsia="宋体"/>
        </w:rPr>
      </w:pPr>
      <w:bookmarkStart w:id="26" w:name="_Toc15796"/>
      <w:r>
        <w:rPr>
          <w:rFonts w:eastAsia="宋体"/>
        </w:rPr>
        <w:t>3.1地理位置及平面布置</w:t>
      </w:r>
      <w:bookmarkEnd w:id="26"/>
    </w:p>
    <w:p w14:paraId="66A8F9D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rPr>
          <w:rFonts w:hint="eastAsia" w:ascii="Times New Roman" w:hAnsi="Times New Roman" w:cs="Times New Roman"/>
          <w:sz w:val="24"/>
          <w:szCs w:val="24"/>
          <w:lang w:eastAsia="zh-CN"/>
        </w:rPr>
        <w:t>浙江汇鼎新材料有限公司</w:t>
      </w:r>
      <w:r>
        <w:rPr>
          <w:rFonts w:hint="eastAsia" w:ascii="Times New Roman" w:hAnsi="Times New Roman" w:cs="Times New Roman"/>
          <w:sz w:val="24"/>
          <w:szCs w:val="24"/>
        </w:rPr>
        <w:t>位于</w:t>
      </w:r>
      <w:r>
        <w:rPr>
          <w:rFonts w:hint="eastAsia" w:ascii="Times New Roman" w:hAnsi="Times New Roman" w:cs="Times New Roman"/>
          <w:sz w:val="24"/>
          <w:szCs w:val="24"/>
          <w:lang w:eastAsia="zh-CN"/>
        </w:rPr>
        <w:t>浙江省金华市磐安县尖山镇塑料产业园一街96号</w:t>
      </w:r>
      <w:r>
        <w:rPr>
          <w:rFonts w:hint="eastAsia" w:ascii="Times New Roman" w:hAnsi="Times New Roman" w:cs="Times New Roman"/>
          <w:sz w:val="24"/>
          <w:szCs w:val="24"/>
        </w:rPr>
        <w:t>。项目中心经纬度坐标为</w:t>
      </w:r>
      <w:r>
        <w:rPr>
          <w:rFonts w:hint="eastAsia" w:ascii="Times New Roman" w:hAnsi="Times New Roman" w:cs="Times New Roman"/>
          <w:sz w:val="24"/>
          <w:szCs w:val="24"/>
          <w:lang w:val="en-US" w:eastAsia="zh-CN"/>
        </w:rPr>
        <w:t>E120.712676</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N29.233581°</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东侧为在建工业企业；南侧为园区道路，隔路为磐安县宏旭塑料厂；西侧为园区道路，隔路为山林地；北侧为园区道路，隔路为农田。厂界周边200m范围内无敏感目标，附近的敏感点分别为东侧410m大元村、南侧345m磐安县第四中学和西北侧275m里光洋村。</w:t>
      </w:r>
      <w:r>
        <w:rPr>
          <w:rFonts w:hint="eastAsia" w:ascii="Times New Roman" w:hAnsi="Times New Roman" w:cs="Times New Roman"/>
          <w:sz w:val="24"/>
          <w:szCs w:val="24"/>
        </w:rPr>
        <w:t>厂区具体地理位置见图3.1-1，</w:t>
      </w:r>
      <w:r>
        <w:rPr>
          <w:rFonts w:hint="eastAsia" w:ascii="Times New Roman" w:hAnsi="Times New Roman" w:cs="Times New Roman"/>
          <w:sz w:val="24"/>
          <w:szCs w:val="24"/>
          <w:lang w:val="en-US" w:eastAsia="zh-CN"/>
        </w:rPr>
        <w:t>项目厂区周边环境概况</w:t>
      </w:r>
      <w:r>
        <w:rPr>
          <w:rFonts w:hint="eastAsia" w:ascii="Times New Roman" w:hAnsi="Times New Roman" w:cs="Times New Roman"/>
          <w:sz w:val="24"/>
          <w:szCs w:val="24"/>
        </w:rPr>
        <w:t>详见表3.1-1，</w:t>
      </w:r>
      <w:r>
        <w:rPr>
          <w:rFonts w:hint="eastAsia" w:ascii="Times New Roman" w:hAnsi="Times New Roman" w:cs="Times New Roman"/>
          <w:sz w:val="24"/>
          <w:szCs w:val="24"/>
          <w:lang w:val="en-US" w:eastAsia="zh-CN"/>
        </w:rPr>
        <w:t>项目周边主要敏感保护目标见表3.1-2，</w:t>
      </w:r>
      <w:r>
        <w:rPr>
          <w:rFonts w:hint="eastAsia" w:ascii="Times New Roman" w:hAnsi="Times New Roman" w:cs="Times New Roman"/>
          <w:sz w:val="24"/>
          <w:szCs w:val="24"/>
        </w:rPr>
        <w:t>厂区周边</w:t>
      </w:r>
      <w:r>
        <w:rPr>
          <w:rFonts w:hint="eastAsia" w:ascii="Times New Roman" w:hAnsi="Times New Roman" w:cs="Times New Roman"/>
          <w:sz w:val="24"/>
          <w:szCs w:val="24"/>
          <w:lang w:val="en-US" w:eastAsia="zh-CN"/>
        </w:rPr>
        <w:t>情况</w:t>
      </w:r>
      <w:r>
        <w:rPr>
          <w:rFonts w:hint="eastAsia" w:ascii="Times New Roman" w:hAnsi="Times New Roman" w:cs="Times New Roman"/>
          <w:sz w:val="24"/>
          <w:szCs w:val="24"/>
        </w:rPr>
        <w:t>见图3.1-2，厂区平面布置图见图3.1-3。</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2FDB3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0" w:hRule="atLeast"/>
        </w:trPr>
        <w:tc>
          <w:tcPr>
            <w:tcW w:w="9401" w:type="dxa"/>
            <w:tcBorders>
              <w:top w:val="nil"/>
              <w:left w:val="nil"/>
              <w:bottom w:val="nil"/>
              <w:right w:val="nil"/>
            </w:tcBorders>
            <w:vAlign w:val="center"/>
          </w:tcPr>
          <w:p w14:paraId="11FDB6D5">
            <w:pPr>
              <w:adjustRightInd w:val="0"/>
              <w:snapToGrid w:val="0"/>
              <w:spacing w:line="240" w:lineRule="auto"/>
              <w:jc w:val="center"/>
              <w:rPr>
                <w:vertAlign w:val="baseline"/>
              </w:rPr>
            </w:pPr>
            <w:r>
              <w:rPr>
                <w:sz w:val="21"/>
              </w:rPr>
              <mc:AlternateContent>
                <mc:Choice Requires="wps">
                  <w:drawing>
                    <wp:anchor distT="0" distB="0" distL="114300" distR="114300" simplePos="0" relativeHeight="251661312" behindDoc="0" locked="0" layoutInCell="1" allowOverlap="1">
                      <wp:simplePos x="0" y="0"/>
                      <wp:positionH relativeFrom="column">
                        <wp:posOffset>3469640</wp:posOffset>
                      </wp:positionH>
                      <wp:positionV relativeFrom="paragraph">
                        <wp:posOffset>429260</wp:posOffset>
                      </wp:positionV>
                      <wp:extent cx="965200" cy="365125"/>
                      <wp:effectExtent l="916940" t="12700" r="22860" b="521335"/>
                      <wp:wrapNone/>
                      <wp:docPr id="129" name="圆角矩形标注 129"/>
                      <wp:cNvGraphicFramePr/>
                      <a:graphic xmlns:a="http://schemas.openxmlformats.org/drawingml/2006/main">
                        <a:graphicData uri="http://schemas.microsoft.com/office/word/2010/wordprocessingShape">
                          <wps:wsp>
                            <wps:cNvSpPr/>
                            <wps:spPr>
                              <a:xfrm>
                                <a:off x="4552950" y="5113655"/>
                                <a:ext cx="965200" cy="365125"/>
                              </a:xfrm>
                              <a:prstGeom prst="wedgeRoundRectCallout">
                                <a:avLst>
                                  <a:gd name="adj1" fmla="val -143684"/>
                                  <a:gd name="adj2" fmla="val 187913"/>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5EC54FF">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73.2pt;margin-top:33.8pt;height:28.75pt;width:76pt;z-index:251661312;v-text-anchor:middle;mso-width-relative:page;mso-height-relative:page;" filled="f" stroked="t" coordsize="21600,21600" o:gfxdata="UEsDBAoAAAAAAIdO4kAAAAAAAAAAAAAAAAAEAAAAZHJzL1BLAwQUAAAACACHTuJApRIabNgAAAAK&#10;AQAADwAAAGRycy9kb3ducmV2LnhtbE2Py07DMBBF90j8gzVI7KiTqDVtiFMhKlasSBHq0o0dJ208&#10;jmz3wd8zrOhyZo7unFutr25kZxPi4FFCPsuAGWy9HtBK+Nq+Py2BxaRQq9GjkfBjIqzr+7tKldpf&#10;8NOcm2QZhWAslYQ+pankPLa9cSrO/GSQbp0PTiUag+U6qAuFu5EXWSa4UwPSh15N5q037bE5OUrZ&#10;rTbFa2PxO07bj10XNtx2BykfH/LsBVgy1/QPw58+qUNNTnt/Qh3ZKGExF3NCJYhnAYwAsVrSYk9k&#10;sciB1xW/rVD/AlBLAwQUAAAACACHTuJAWn+SncMCAABjBQAADgAAAGRycy9lMm9Eb2MueG1srVTN&#10;bhMxEL4j8Q6W7+1mN9m0ibqpokRBSBWNWhBnx+v9Qf7DdrIpDwB3zkggLsCZM4/TwmMw9m7btOXQ&#10;AzlsZna+nZnvG4+PjreCow0ztlYyw/F+DyMmqcprWWb41cvF3iFG1hGZE64ky/AFs/h48vTJUaPH&#10;LFGV4jkzCJJIO250hivn9DiKLK2YIHZfaSYhWCgjiAPXlFFuSAPZBY+SXm8YNcrk2ijKrIW38zaI&#10;u4zmMQlVUdSUzRVdCyZdm9UwThxQslWtLZ6EbouCUXdaFJY5xDMMTF14QhGwV/4ZTY7IuDREVzXt&#10;WiCPaeEeJ0FqCUVvUs2JI2ht6gepRE2Nsqpw+1SJqCUSFAEWce+eNucV0SxwAamtvhHd/r+09MVm&#10;aVCdw0lIRhhJImDkl5/e//n28ffnH5e/vl59+XD18zvyUdCq0XYMn5zrpek8C6Ynvi2M8P9ACW0z&#10;PEjTZJSCyhcZTuO4P0zTVmu2dYgCYDRM4TRgRAEA0TgJ8eg2kTbWPWNKIG9kuGF5yc7UWuZnMNQZ&#10;4VytXZCcbE6sC9rnXf8kfxNjVAgOo9wQjvbiQX94OOiGvYNKdlHx4cEo7j8E9e+AhsPhgcdAp11h&#10;sK579V1Itag5D+eKS9RkOEkHgSiBZSngkAJnoUFwK0uMCC9hC6kzgYpVvM795z6RNeVqxg0CBhle&#10;LHrw6wrfgfnac2KrFhdCHYxLaNNPrJ2Rt9x2te0Gt1L5BYzeqHYnrKaLGlKdEOuWxIByMBy4Jtwp&#10;PAqugIjqLIwqZd79673Hw9mEKEYNLBWQfLsmhmHEn0s4taN4MIC0LjiD9CABx+xGVrsRuRYzBdxh&#10;ltBdMD3e8WuzMEq8httk6qtCiEgKtVs5O2fm2mWH+4iy6TTAYPM0cSfyXFOfvB3adO1UUTs/WS9U&#10;q07nwO6FgXf3hF/uXT+gbu/GyV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ClEhps2AAAAAoBAAAP&#10;AAAAAAAAAAEAIAAAACIAAABkcnMvZG93bnJldi54bWxQSwECFAAUAAAACACHTuJAWn+SncMCAABj&#10;BQAADgAAAAAAAAABACAAAAAnAQAAZHJzL2Uyb0RvYy54bWxQSwUGAAAAAAYABgBZAQAAXAYAAAAA&#10;" adj="-20236,51389,14400">
                      <v:fill on="f" focussize="0,0"/>
                      <v:stroke weight="2pt" color="#FF0000 [2404]" joinstyle="round"/>
                      <v:imagedata o:title=""/>
                      <o:lock v:ext="edit" aspectratio="f"/>
                      <v:textbox>
                        <w:txbxContent>
                          <w:p w14:paraId="55EC54FF">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drawing>
                <wp:inline distT="0" distB="0" distL="114300" distR="114300">
                  <wp:extent cx="5828665" cy="3432175"/>
                  <wp:effectExtent l="0" t="0" r="635" b="1587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1"/>
                          <a:stretch>
                            <a:fillRect/>
                          </a:stretch>
                        </pic:blipFill>
                        <pic:spPr>
                          <a:xfrm>
                            <a:off x="0" y="0"/>
                            <a:ext cx="5828665" cy="3432175"/>
                          </a:xfrm>
                          <a:prstGeom prst="rect">
                            <a:avLst/>
                          </a:prstGeom>
                          <a:noFill/>
                          <a:ln>
                            <a:noFill/>
                          </a:ln>
                        </pic:spPr>
                      </pic:pic>
                    </a:graphicData>
                  </a:graphic>
                </wp:inline>
              </w:drawing>
            </w:r>
          </w:p>
        </w:tc>
      </w:tr>
      <w:tr w14:paraId="2D8AD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0113C467">
            <w:pPr>
              <w:adjustRightInd w:val="0"/>
              <w:snapToGrid w:val="0"/>
              <w:spacing w:line="240" w:lineRule="auto"/>
              <w:jc w:val="center"/>
            </w:pPr>
            <w:r>
              <w:rPr>
                <w:rFonts w:ascii="Times New Roman" w:hAnsi="Times New Roman" w:cs="Times New Roman"/>
                <w:b/>
                <w:bCs/>
                <w:szCs w:val="21"/>
              </w:rPr>
              <w:t>图</w:t>
            </w:r>
            <w:r>
              <w:rPr>
                <w:rFonts w:hint="eastAsia" w:ascii="Times New Roman" w:hAnsi="Times New Roman" w:cs="Times New Roman"/>
                <w:b/>
                <w:bCs/>
                <w:szCs w:val="21"/>
              </w:rPr>
              <w:t>3.1</w:t>
            </w:r>
            <w:r>
              <w:rPr>
                <w:rFonts w:ascii="Times New Roman" w:hAnsi="Times New Roman" w:cs="Times New Roman"/>
                <w:b/>
                <w:bCs/>
                <w:szCs w:val="21"/>
              </w:rPr>
              <w:t>-1 项目地理位置图</w:t>
            </w:r>
          </w:p>
        </w:tc>
      </w:tr>
    </w:tbl>
    <w:p w14:paraId="2068DA7A">
      <w:pPr>
        <w:adjustRightInd w:val="0"/>
        <w:snapToGrid w:val="0"/>
        <w:spacing w:line="360" w:lineRule="auto"/>
        <w:jc w:val="center"/>
        <w:rPr>
          <w:rFonts w:ascii="Times New Roman" w:hAnsi="Times New Roman" w:cs="Times New Roman"/>
          <w:sz w:val="24"/>
          <w:szCs w:val="24"/>
        </w:rPr>
      </w:pP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0FEA0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7" w:hRule="atLeast"/>
        </w:trPr>
        <w:tc>
          <w:tcPr>
            <w:tcW w:w="9401" w:type="dxa"/>
            <w:tcBorders>
              <w:top w:val="nil"/>
              <w:left w:val="nil"/>
              <w:bottom w:val="nil"/>
              <w:right w:val="nil"/>
            </w:tcBorders>
            <w:vAlign w:val="center"/>
          </w:tcPr>
          <w:p w14:paraId="66384ACC">
            <w:pPr>
              <w:adjustRightInd w:val="0"/>
              <w:snapToGrid w:val="0"/>
              <w:spacing w:line="240" w:lineRule="auto"/>
              <w:jc w:val="center"/>
              <w:rPr>
                <w:vertAlign w:val="baseline"/>
              </w:rPr>
            </w:pPr>
            <w:r>
              <w:rPr>
                <w:sz w:val="21"/>
              </w:rPr>
              <w:drawing>
                <wp:inline distT="0" distB="0" distL="114300" distR="114300">
                  <wp:extent cx="5825490" cy="3867150"/>
                  <wp:effectExtent l="0" t="0" r="3810" b="0"/>
                  <wp:docPr id="11" name="图片 11" descr="173112605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31126053349"/>
                          <pic:cNvPicPr>
                            <a:picLocks noChangeAspect="1"/>
                          </pic:cNvPicPr>
                        </pic:nvPicPr>
                        <pic:blipFill>
                          <a:blip r:embed="rId12"/>
                          <a:stretch>
                            <a:fillRect/>
                          </a:stretch>
                        </pic:blipFill>
                        <pic:spPr>
                          <a:xfrm>
                            <a:off x="0" y="0"/>
                            <a:ext cx="5825490" cy="3867150"/>
                          </a:xfrm>
                          <a:prstGeom prst="rect">
                            <a:avLst/>
                          </a:prstGeom>
                        </pic:spPr>
                      </pic:pic>
                    </a:graphicData>
                  </a:graphic>
                </wp:inline>
              </w:drawing>
            </w:r>
            <w:r>
              <w:rPr>
                <w:sz w:val="21"/>
              </w:rPr>
              <mc:AlternateContent>
                <mc:Choice Requires="wps">
                  <w:drawing>
                    <wp:anchor distT="0" distB="0" distL="114300" distR="114300" simplePos="0" relativeHeight="251662336" behindDoc="0" locked="0" layoutInCell="1" allowOverlap="1">
                      <wp:simplePos x="0" y="0"/>
                      <wp:positionH relativeFrom="column">
                        <wp:posOffset>5116195</wp:posOffset>
                      </wp:positionH>
                      <wp:positionV relativeFrom="paragraph">
                        <wp:posOffset>59690</wp:posOffset>
                      </wp:positionV>
                      <wp:extent cx="0" cy="433070"/>
                      <wp:effectExtent l="57150" t="0" r="57150" b="5080"/>
                      <wp:wrapNone/>
                      <wp:docPr id="7" name="直接箭头连接符 7"/>
                      <wp:cNvGraphicFramePr/>
                      <a:graphic xmlns:a="http://schemas.openxmlformats.org/drawingml/2006/main">
                        <a:graphicData uri="http://schemas.microsoft.com/office/word/2010/wordprocessingShape">
                          <wps:wsp>
                            <wps:cNvCnPr/>
                            <wps:spPr>
                              <a:xfrm flipV="1">
                                <a:off x="6071235" y="118999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402.85pt;margin-top:4.7pt;height:34.1pt;width:0pt;z-index:251662336;mso-width-relative:page;mso-height-relative:page;" filled="f" stroked="t" coordsize="21600,21600" o:gfxdata="UEsDBAoAAAAAAIdO4kAAAAAAAAAAAAAAAAAEAAAAZHJzL1BLAwQUAAAACACHTuJANDPAkNYAAAAI&#10;AQAADwAAAGRycy9kb3ducmV2LnhtbE2PQUvDQBSE74L/YXmCF7G7FW1qzEuRgheRQlvb8yb7TFaz&#10;b0N227T/3hUPehxmmPmmWJxcJ440BOsZYTpRIIhrbyw3CO/bl9s5iBA1G915JoQzBViUlxeFzo0f&#10;eU3HTWxEKuGQa4Q2xj6XMtQtOR0mvidO3ocfnI5JDo00gx5TuevknVIz6bTltNDqnpYt1V+bg0Og&#10;5/3bq6RV/LQ31le7ernajmfE66upegIR6RT/wvCDn9ChTEyVP7AJokOYq4csRREe70Ek/1dXCFk2&#10;A1kW8v+B8htQSwMEFAAAAAgAh07iQDraE0gPAgAA3QMAAA4AAABkcnMvZTJvRG9jLnhtbK1TvY4T&#10;MRDukXgHyz3ZTXJ3uUTZXJEQGgQn8dM7XnvXkv809mWTl+AFkKiACqiu52ngeAzG3uWAo7kCF9bY&#10;4/lmvm/Gy4uD0WQvIChnKzoelZQIy12tbFPRVy+3j84pCZHZmmlnRUWPItCL1cMHy84vxMS1TtcC&#10;CILYsOh8RdsY/aIoAm+FYWHkvLDolA4Mi3iEpqiBdYhudDEpy7Oic1B7cFyEgLeb3kkHRLgPoJNS&#10;cbFx/MoIG3tUEJpFpBRa5QNd5WqlFDw+lzKISHRFkWnMOyZBe5f2YrVkiwaYbxUfSmD3KeEOJ8OU&#10;xaS3UBsWGbkC9Q+UURxccDKOuDNFTyQrgizG5R1tXrTMi8wFpQ7+VvTw/2D5s/0lEFVXdEaJZQYb&#10;fvP2+vubDzdfPn97f/3j67tkf/pIZkmqzocFRqztJQyn4C8h8T5IMERq5V/jTGUlkBs5VPSsnI0n&#10;01NKjugYn8/n80F0cYiE4wPsBEffyXRazrKr6NESqocQnwhnSDIqGiIw1bRx7azFzjroM7H90xCx&#10;Hgz8FZCCrdsqrXODtSVdRSenJ2XKxnBqJU4LmsYj82AbSphu8DvwCLn44LSqU3gCCtDs1hrInuEQ&#10;bbclriQGpvvrWcq9YaHt32VXP16RKf3Y1iQePcrLAFw3xGuLMEnUXsZk7Vx9zOrme+x6TjRMaBqr&#10;P885+vevXP0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PAkNYAAAAIAQAADwAAAAAAAAABACAA&#10;AAAiAAAAZHJzL2Rvd25yZXYueG1sUEsBAhQAFAAAAAgAh07iQDraE0gPAgAA3QMAAA4AAAAAAAAA&#10;AQAgAAAAJQEAAGRycy9lMm9Eb2MueG1sUEsFBgAAAAAGAAYAWQEAAKYFAAAAAA==&#10;">
                      <v:fill on="f" focussize="0,0"/>
                      <v:stroke weight="2pt" color="#FF0000 [3204]" joinstyle="round" endarrow="open"/>
                      <v:imagedata o:title=""/>
                      <o:lock v:ext="edit" aspectratio="f"/>
                    </v:shape>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5125720</wp:posOffset>
                      </wp:positionH>
                      <wp:positionV relativeFrom="paragraph">
                        <wp:posOffset>144780</wp:posOffset>
                      </wp:positionV>
                      <wp:extent cx="342900" cy="266700"/>
                      <wp:effectExtent l="0" t="0" r="0" b="0"/>
                      <wp:wrapNone/>
                      <wp:docPr id="30" name="文本框 30"/>
                      <wp:cNvGraphicFramePr/>
                      <a:graphic xmlns:a="http://schemas.openxmlformats.org/drawingml/2006/main">
                        <a:graphicData uri="http://schemas.microsoft.com/office/word/2010/wordprocessingShape">
                          <wps:wsp>
                            <wps:cNvSpPr txBox="1"/>
                            <wps:spPr>
                              <a:xfrm>
                                <a:off x="6080760" y="118999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D0714E">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3.6pt;margin-top:11.4pt;height:21pt;width:27pt;z-index:251663360;mso-width-relative:page;mso-height-relative:page;" filled="f" stroked="f" coordsize="21600,21600" o:gfxdata="UEsDBAoAAAAAAIdO4kAAAAAAAAAAAAAAAAAEAAAAZHJzL1BLAwQUAAAACACHTuJA6yKOI9kAAAAJ&#10;AQAADwAAAGRycy9kb3ducmV2LnhtbE2Py07DMBBF90j8gzVI7KidCIKVxqlQpAoJwaKlG3ZO7CZR&#10;7XGI3Qd8PcMKljNzdOfcanXxjp3sHMeACrKFAGaxC2bEXsHufX0ngcWk0WgX0Cr4shFW9fVVpUsT&#10;zrixp23qGYVgLLWCIaWp5Dx2g/U6LsJkkW77MHudaJx7bmZ9pnDveC5Ewb0ekT4MerLNYLvD9ugV&#10;vDTrN71pcy+/XfP8un+aPncfD0rd3mRiCSzZS/qD4Vef1KEmpzYc0UTmFEjxmBOqIM+pAgGyyGjR&#10;KijuJfC64v8b1D9QSwMEFAAAAAgAh07iQL+Xk2RGAgAAcwQAAA4AAABkcnMvZTJvRG9jLnhtbK1U&#10;S27bMBDdF+gdCO5ryY7jxEbkwI2RokDQBHCLrmmKigTwV5KOlB6gvUFX3XTfc+UcfaRkJ0i7yKIb&#10;esh5fjPzZkZn552S5E443xhd0PEop0RobspG3xb008fLN6eU+MB0yaTRoqD3wtPz5etXZ61diImp&#10;jSyFIyDRftHagtYh2EWWeV4LxfzIWKHhrIxTLODqbrPSsRbsSmaTPJ9lrXGldYYL7/G67p10YHQv&#10;ITRV1XCxNnynhA49qxOSBZTk68Z6ukzZVpXg4bqqvAhEFhSVhnQiCOxtPLPlGVvcOmbrhg8psJek&#10;8KwmxRqNoAeqNQuM7FzzF5VquDPeVGHEjcr6QpIiqGKcP9NmUzMrUi2Q2tuD6P7/0fIPdzeONGVB&#10;jyCJZgodf/jx/eHn74df3wjeIFBr/QK4jQUydG9Nh7HZv3s8xrq7yqn4i4oI/LP8ND+ZgfEe2PHp&#10;fD4fpBZdIByAo+lknsPPAZjMZiewESl7JLLOh3fCKBKNgjp0MgnM7q586KF7SIyrzWUjZeqm1KRF&#10;BkfHefrDwQNyqREjltOnHa3Qbbuhxq0p71GiM/2UeMsvGwS/Yj7cMIexQL5YnHCNo5IGQcxgUVIb&#10;9/Vf7xGPbsFLSYsxK6j/smNOUCLfa/RxPp5OQRvSZXp8MsHFPfVsn3r0Tl0YTPIYK2p5MiM+yL1Z&#10;OaM+Y79WMSpcTHPELmjYmxehH37sJxerVQJhEi0LV3pjeaTu5VztgqmapHSUqddmUA+zmHo17E0c&#10;9qf3hHr8Vi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OsijiPZAAAACQEAAA8AAAAAAAAAAQAg&#10;AAAAIgAAAGRycy9kb3ducmV2LnhtbFBLAQIUABQAAAAIAIdO4kC/l5NkRgIAAHMEAAAOAAAAAAAA&#10;AAEAIAAAACgBAABkcnMvZTJvRG9jLnhtbFBLBQYAAAAABgAGAFkBAADgBQAAAAA=&#10;">
                      <v:fill on="f" focussize="0,0"/>
                      <v:stroke on="f" weight="0.5pt"/>
                      <v:imagedata o:title=""/>
                      <o:lock v:ext="edit" aspectratio="f"/>
                      <v:textbox>
                        <w:txbxContent>
                          <w:p w14:paraId="54D0714E">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p>
        </w:tc>
      </w:tr>
      <w:tr w14:paraId="02F95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2050D4C0">
            <w:pPr>
              <w:adjustRightInd w:val="0"/>
              <w:snapToGrid w:val="0"/>
              <w:spacing w:line="240" w:lineRule="auto"/>
              <w:jc w:val="center"/>
            </w:pPr>
            <w:r>
              <w:rPr>
                <w:rFonts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14:paraId="12CD7CD5">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878"/>
        <w:gridCol w:w="2335"/>
        <w:gridCol w:w="5102"/>
      </w:tblGrid>
      <w:tr w14:paraId="250DA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vAlign w:val="center"/>
          </w:tcPr>
          <w:p w14:paraId="13812B9D">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方位</w:t>
            </w:r>
          </w:p>
        </w:tc>
        <w:tc>
          <w:tcPr>
            <w:tcW w:w="2335" w:type="dxa"/>
            <w:tcBorders>
              <w:right w:val="single" w:color="auto" w:sz="4" w:space="0"/>
            </w:tcBorders>
            <w:vAlign w:val="center"/>
          </w:tcPr>
          <w:p w14:paraId="7B515767">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位置关系</w:t>
            </w:r>
          </w:p>
        </w:tc>
        <w:tc>
          <w:tcPr>
            <w:tcW w:w="5102" w:type="dxa"/>
            <w:tcBorders>
              <w:left w:val="single" w:color="auto" w:sz="4" w:space="0"/>
            </w:tcBorders>
            <w:vAlign w:val="center"/>
          </w:tcPr>
          <w:p w14:paraId="47EF9306">
            <w:pPr>
              <w:adjustRightInd w:val="0"/>
              <w:snapToGrid w:val="0"/>
              <w:spacing w:line="259" w:lineRule="auto"/>
              <w:ind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现状</w:t>
            </w:r>
          </w:p>
        </w:tc>
      </w:tr>
      <w:tr w14:paraId="39FD4E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78" w:type="dxa"/>
            <w:vAlign w:val="center"/>
          </w:tcPr>
          <w:p w14:paraId="41C68C1F">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东</w:t>
            </w:r>
          </w:p>
        </w:tc>
        <w:tc>
          <w:tcPr>
            <w:tcW w:w="2335" w:type="dxa"/>
            <w:tcBorders>
              <w:right w:val="single" w:color="auto" w:sz="4" w:space="0"/>
            </w:tcBorders>
            <w:vAlign w:val="center"/>
          </w:tcPr>
          <w:p w14:paraId="03F63634">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23F07F88">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在建工业企业</w:t>
            </w:r>
          </w:p>
        </w:tc>
      </w:tr>
      <w:tr w14:paraId="1CB5878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78" w:type="dxa"/>
            <w:vMerge w:val="restart"/>
            <w:vAlign w:val="center"/>
          </w:tcPr>
          <w:p w14:paraId="4AFF4831">
            <w:pPr>
              <w:spacing w:line="36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南</w:t>
            </w:r>
          </w:p>
        </w:tc>
        <w:tc>
          <w:tcPr>
            <w:tcW w:w="2335" w:type="dxa"/>
            <w:tcBorders>
              <w:right w:val="single" w:color="auto" w:sz="4" w:space="0"/>
            </w:tcBorders>
            <w:vAlign w:val="center"/>
          </w:tcPr>
          <w:p w14:paraId="311F70A3">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40871A1A">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园区道路</w:t>
            </w:r>
          </w:p>
        </w:tc>
      </w:tr>
      <w:tr w14:paraId="09B1D6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78" w:type="dxa"/>
            <w:vMerge w:val="continue"/>
            <w:vAlign w:val="center"/>
          </w:tcPr>
          <w:p w14:paraId="6E2201CF">
            <w:pPr>
              <w:spacing w:line="360" w:lineRule="auto"/>
              <w:jc w:val="center"/>
              <w:rPr>
                <w:rFonts w:hint="default" w:ascii="Times New Roman" w:hAnsi="Times New Roman" w:eastAsia="宋体" w:cs="Times New Roman"/>
                <w:sz w:val="21"/>
                <w:szCs w:val="21"/>
                <w:lang w:val="en-US" w:eastAsia="zh-CN"/>
              </w:rPr>
            </w:pPr>
          </w:p>
        </w:tc>
        <w:tc>
          <w:tcPr>
            <w:tcW w:w="2335" w:type="dxa"/>
            <w:tcBorders>
              <w:right w:val="single" w:color="auto" w:sz="4" w:space="0"/>
            </w:tcBorders>
            <w:vAlign w:val="center"/>
          </w:tcPr>
          <w:p w14:paraId="3C46C479">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隔园区道路</w:t>
            </w:r>
          </w:p>
        </w:tc>
        <w:tc>
          <w:tcPr>
            <w:tcW w:w="5102" w:type="dxa"/>
            <w:tcBorders>
              <w:left w:val="single" w:color="auto" w:sz="4" w:space="0"/>
            </w:tcBorders>
            <w:vAlign w:val="center"/>
          </w:tcPr>
          <w:p w14:paraId="27C40B76">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磐安县宏旭塑料厂</w:t>
            </w:r>
          </w:p>
        </w:tc>
      </w:tr>
      <w:tr w14:paraId="718DA1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78" w:type="dxa"/>
            <w:vMerge w:val="restart"/>
            <w:vAlign w:val="center"/>
          </w:tcPr>
          <w:p w14:paraId="0C531DCB">
            <w:pPr>
              <w:spacing w:line="36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西</w:t>
            </w:r>
          </w:p>
        </w:tc>
        <w:tc>
          <w:tcPr>
            <w:tcW w:w="2335" w:type="dxa"/>
            <w:tcBorders>
              <w:right w:val="single" w:color="auto" w:sz="4" w:space="0"/>
            </w:tcBorders>
            <w:shd w:val="clear" w:color="auto" w:fill="auto"/>
            <w:vAlign w:val="center"/>
          </w:tcPr>
          <w:p w14:paraId="7C972A19">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53271394">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园区道路</w:t>
            </w:r>
          </w:p>
        </w:tc>
      </w:tr>
      <w:tr w14:paraId="56E551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78" w:type="dxa"/>
            <w:vMerge w:val="continue"/>
            <w:vAlign w:val="center"/>
          </w:tcPr>
          <w:p w14:paraId="17D3B592">
            <w:pPr>
              <w:spacing w:line="360" w:lineRule="auto"/>
              <w:jc w:val="center"/>
              <w:rPr>
                <w:rFonts w:hint="default" w:ascii="Times New Roman" w:hAnsi="Times New Roman" w:eastAsia="宋体" w:cs="Times New Roman"/>
                <w:sz w:val="21"/>
                <w:szCs w:val="21"/>
                <w:lang w:val="en-US" w:eastAsia="zh-CN"/>
              </w:rPr>
            </w:pPr>
          </w:p>
        </w:tc>
        <w:tc>
          <w:tcPr>
            <w:tcW w:w="2335" w:type="dxa"/>
            <w:tcBorders>
              <w:right w:val="single" w:color="auto" w:sz="4" w:space="0"/>
            </w:tcBorders>
            <w:shd w:val="clear" w:color="auto" w:fill="auto"/>
            <w:vAlign w:val="center"/>
          </w:tcPr>
          <w:p w14:paraId="57BF44EA">
            <w:pPr>
              <w:spacing w:line="36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隔园区道路</w:t>
            </w:r>
          </w:p>
        </w:tc>
        <w:tc>
          <w:tcPr>
            <w:tcW w:w="5102" w:type="dxa"/>
            <w:tcBorders>
              <w:left w:val="single" w:color="auto" w:sz="4" w:space="0"/>
            </w:tcBorders>
            <w:vAlign w:val="center"/>
          </w:tcPr>
          <w:p w14:paraId="6B78EC7B">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山林地</w:t>
            </w:r>
          </w:p>
        </w:tc>
      </w:tr>
      <w:tr w14:paraId="26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78" w:type="dxa"/>
            <w:vMerge w:val="restart"/>
            <w:vAlign w:val="center"/>
          </w:tcPr>
          <w:p w14:paraId="412098CD">
            <w:pPr>
              <w:spacing w:line="360" w:lineRule="auto"/>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北</w:t>
            </w:r>
          </w:p>
        </w:tc>
        <w:tc>
          <w:tcPr>
            <w:tcW w:w="2335" w:type="dxa"/>
            <w:tcBorders>
              <w:right w:val="single" w:color="auto" w:sz="4" w:space="0"/>
            </w:tcBorders>
            <w:shd w:val="clear" w:color="auto" w:fill="auto"/>
            <w:vAlign w:val="center"/>
          </w:tcPr>
          <w:p w14:paraId="24133C1A">
            <w:pPr>
              <w:spacing w:line="360" w:lineRule="auto"/>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vAlign w:val="center"/>
          </w:tcPr>
          <w:p w14:paraId="56EC081F">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园区道路</w:t>
            </w:r>
          </w:p>
        </w:tc>
      </w:tr>
      <w:tr w14:paraId="13536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878" w:type="dxa"/>
            <w:vMerge w:val="continue"/>
            <w:vAlign w:val="center"/>
          </w:tcPr>
          <w:p w14:paraId="69DC2D87">
            <w:pPr>
              <w:spacing w:line="360" w:lineRule="auto"/>
              <w:jc w:val="center"/>
              <w:rPr>
                <w:rFonts w:hint="default" w:ascii="Times New Roman" w:hAnsi="Times New Roman" w:eastAsia="宋体" w:cs="Times New Roman"/>
                <w:sz w:val="21"/>
                <w:szCs w:val="21"/>
                <w:lang w:val="en-US" w:eastAsia="zh-CN"/>
              </w:rPr>
            </w:pPr>
          </w:p>
        </w:tc>
        <w:tc>
          <w:tcPr>
            <w:tcW w:w="2335" w:type="dxa"/>
            <w:tcBorders>
              <w:right w:val="single" w:color="auto" w:sz="4" w:space="0"/>
            </w:tcBorders>
            <w:shd w:val="clear" w:color="auto" w:fill="auto"/>
            <w:vAlign w:val="center"/>
          </w:tcPr>
          <w:p w14:paraId="10089487">
            <w:pPr>
              <w:spacing w:line="360" w:lineRule="auto"/>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隔园区道路</w:t>
            </w:r>
          </w:p>
        </w:tc>
        <w:tc>
          <w:tcPr>
            <w:tcW w:w="5102" w:type="dxa"/>
            <w:tcBorders>
              <w:left w:val="single" w:color="auto" w:sz="4" w:space="0"/>
            </w:tcBorders>
            <w:vAlign w:val="center"/>
          </w:tcPr>
          <w:p w14:paraId="62C0EADE">
            <w:pPr>
              <w:spacing w:line="36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农田</w:t>
            </w:r>
          </w:p>
        </w:tc>
      </w:tr>
    </w:tbl>
    <w:p w14:paraId="61AD18F0">
      <w:pPr>
        <w:pStyle w:val="14"/>
        <w:spacing w:beforeAutospacing="0" w:afterAutospacing="0"/>
        <w:jc w:val="center"/>
        <w:rPr>
          <w:rFonts w:hint="default" w:ascii="Times New Roman" w:hAnsi="Times New Roman" w:eastAsia="宋体" w:cs="Times New Roman"/>
          <w:b/>
          <w:bCs/>
          <w:kern w:val="2"/>
          <w:sz w:val="21"/>
          <w:szCs w:val="21"/>
          <w:lang w:val="en-US" w:eastAsia="zh-CN" w:bidi="ar-SA"/>
        </w:rPr>
      </w:pPr>
    </w:p>
    <w:p w14:paraId="296F5AEA">
      <w:pPr>
        <w:pStyle w:val="14"/>
        <w:spacing w:beforeAutospacing="0" w:afterAutospacing="0"/>
        <w:jc w:val="center"/>
      </w:pPr>
      <w:r>
        <w:rPr>
          <w:rFonts w:hint="default" w:ascii="Times New Roman" w:hAnsi="Times New Roman" w:eastAsia="宋体" w:cs="Times New Roman"/>
          <w:b/>
          <w:bCs/>
          <w:kern w:val="2"/>
          <w:sz w:val="21"/>
          <w:szCs w:val="21"/>
          <w:lang w:val="en-US" w:eastAsia="zh-CN" w:bidi="ar-SA"/>
        </w:rPr>
        <w:t>表3.1</w:t>
      </w:r>
      <w:r>
        <w:rPr>
          <w:rFonts w:hint="default" w:ascii="Times New Roman" w:hAnsi="Times New Roman" w:eastAsia="宋体" w:cs="Times New Roman"/>
          <w:b/>
          <w:bCs/>
          <w:kern w:val="2"/>
          <w:sz w:val="21"/>
          <w:szCs w:val="21"/>
          <w:lang w:val="en-US" w:eastAsia="zh-CN" w:bidi="ar-SA"/>
        </w:rPr>
        <w:noBreakHyphen/>
      </w:r>
      <w:r>
        <w:rPr>
          <w:rFonts w:hint="eastAsia" w:ascii="Times New Roman" w:hAnsi="Times New Roman" w:eastAsia="宋体" w:cs="Times New Roman"/>
          <w:b/>
          <w:bCs/>
          <w:kern w:val="2"/>
          <w:sz w:val="21"/>
          <w:szCs w:val="21"/>
          <w:lang w:val="en-US" w:eastAsia="zh-CN" w:bidi="ar-SA"/>
        </w:rPr>
        <w:t>2</w:t>
      </w:r>
      <w:r>
        <w:rPr>
          <w:rFonts w:hint="default" w:ascii="Times New Roman" w:hAnsi="Times New Roman" w:eastAsia="宋体" w:cs="Times New Roman"/>
          <w:b/>
          <w:bCs/>
          <w:kern w:val="2"/>
          <w:sz w:val="21"/>
          <w:szCs w:val="21"/>
          <w:lang w:val="en-US" w:eastAsia="zh-CN" w:bidi="ar-SA"/>
        </w:rPr>
        <w:t>周边敏感点分布情况</w:t>
      </w:r>
      <w:r>
        <w:rPr>
          <w:rFonts w:hint="eastAsia" w:ascii="Times New Roman" w:hAnsi="Times New Roman" w:eastAsia="宋体" w:cs="Times New Roman"/>
          <w:b/>
          <w:bCs/>
          <w:kern w:val="2"/>
          <w:sz w:val="21"/>
          <w:szCs w:val="21"/>
          <w:lang w:val="en-US" w:eastAsia="zh-CN" w:bidi="ar-SA"/>
        </w:rPr>
        <w:t>表</w:t>
      </w:r>
    </w:p>
    <w:tbl>
      <w:tblPr>
        <w:tblStyle w:val="33"/>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372"/>
        <w:gridCol w:w="1961"/>
        <w:gridCol w:w="975"/>
        <w:gridCol w:w="1982"/>
        <w:gridCol w:w="1272"/>
        <w:gridCol w:w="1753"/>
      </w:tblGrid>
      <w:tr w14:paraId="2DBBFD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372" w:type="dxa"/>
            <w:vAlign w:val="center"/>
          </w:tcPr>
          <w:p w14:paraId="62D70D72">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环境类别</w:t>
            </w:r>
          </w:p>
        </w:tc>
        <w:tc>
          <w:tcPr>
            <w:tcW w:w="1961" w:type="dxa"/>
            <w:tcBorders>
              <w:right w:val="single" w:color="auto" w:sz="4" w:space="0"/>
            </w:tcBorders>
            <w:vAlign w:val="center"/>
          </w:tcPr>
          <w:p w14:paraId="7D7BE1D4">
            <w:pPr>
              <w:adjustRightInd w:val="0"/>
              <w:snapToGrid w:val="0"/>
              <w:spacing w:line="259" w:lineRule="auto"/>
              <w:ind w:right="46"/>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敏感点</w:t>
            </w:r>
          </w:p>
        </w:tc>
        <w:tc>
          <w:tcPr>
            <w:tcW w:w="975" w:type="dxa"/>
            <w:tcBorders>
              <w:left w:val="single" w:color="auto" w:sz="4" w:space="0"/>
            </w:tcBorders>
            <w:vAlign w:val="center"/>
          </w:tcPr>
          <w:p w14:paraId="42A681DB">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方位</w:t>
            </w:r>
          </w:p>
        </w:tc>
        <w:tc>
          <w:tcPr>
            <w:tcW w:w="1982" w:type="dxa"/>
            <w:vAlign w:val="center"/>
          </w:tcPr>
          <w:p w14:paraId="6A8B150F">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距离厂界最近距离</w:t>
            </w:r>
          </w:p>
        </w:tc>
        <w:tc>
          <w:tcPr>
            <w:tcW w:w="1272" w:type="dxa"/>
            <w:vAlign w:val="center"/>
          </w:tcPr>
          <w:p w14:paraId="27ED34A1">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环境功能</w:t>
            </w:r>
          </w:p>
        </w:tc>
        <w:tc>
          <w:tcPr>
            <w:tcW w:w="1753" w:type="dxa"/>
            <w:vAlign w:val="center"/>
          </w:tcPr>
          <w:p w14:paraId="1D516BC5">
            <w:pPr>
              <w:adjustRightInd w:val="0"/>
              <w:snapToGrid w:val="0"/>
              <w:spacing w:line="259" w:lineRule="auto"/>
              <w:ind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较环评变化情况</w:t>
            </w:r>
          </w:p>
        </w:tc>
      </w:tr>
      <w:tr w14:paraId="4C443A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372" w:type="dxa"/>
            <w:vMerge w:val="restart"/>
            <w:vAlign w:val="center"/>
          </w:tcPr>
          <w:p w14:paraId="0311118A">
            <w:pPr>
              <w:spacing w:line="240" w:lineRule="auto"/>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环境空气</w:t>
            </w:r>
          </w:p>
        </w:tc>
        <w:tc>
          <w:tcPr>
            <w:tcW w:w="1961" w:type="dxa"/>
            <w:tcBorders>
              <w:right w:val="single" w:color="auto" w:sz="4" w:space="0"/>
            </w:tcBorders>
            <w:vAlign w:val="center"/>
          </w:tcPr>
          <w:p w14:paraId="30F260EC">
            <w:pPr>
              <w:spacing w:line="240" w:lineRule="auto"/>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eastAsia="宋体" w:cs="Times New Roman"/>
                <w:sz w:val="21"/>
                <w:szCs w:val="21"/>
                <w:lang w:val="en-US" w:eastAsia="zh-CN"/>
              </w:rPr>
              <w:t>大元村</w:t>
            </w:r>
          </w:p>
        </w:tc>
        <w:tc>
          <w:tcPr>
            <w:tcW w:w="975" w:type="dxa"/>
            <w:tcBorders>
              <w:left w:val="single" w:color="auto" w:sz="4" w:space="0"/>
            </w:tcBorders>
            <w:vAlign w:val="center"/>
          </w:tcPr>
          <w:p w14:paraId="27DDCBF2">
            <w:pPr>
              <w:spacing w:line="240" w:lineRule="auto"/>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eastAsia="宋体" w:cs="Times New Roman"/>
                <w:sz w:val="21"/>
                <w:szCs w:val="21"/>
                <w:lang w:val="en-US" w:eastAsia="zh-CN"/>
              </w:rPr>
              <w:t>东侧</w:t>
            </w:r>
          </w:p>
        </w:tc>
        <w:tc>
          <w:tcPr>
            <w:tcW w:w="1982" w:type="dxa"/>
            <w:vAlign w:val="center"/>
          </w:tcPr>
          <w:p w14:paraId="4A9FC1A3">
            <w:pPr>
              <w:spacing w:line="240" w:lineRule="auto"/>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eastAsia="宋体" w:cs="Times New Roman"/>
                <w:sz w:val="21"/>
                <w:szCs w:val="21"/>
                <w:lang w:val="en-US" w:eastAsia="zh-CN"/>
              </w:rPr>
              <w:t>410m</w:t>
            </w:r>
          </w:p>
        </w:tc>
        <w:tc>
          <w:tcPr>
            <w:tcW w:w="1272" w:type="dxa"/>
            <w:vAlign w:val="center"/>
          </w:tcPr>
          <w:p w14:paraId="178A4F97">
            <w:pPr>
              <w:spacing w:line="240" w:lineRule="auto"/>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753" w:type="dxa"/>
            <w:vAlign w:val="center"/>
          </w:tcPr>
          <w:p w14:paraId="40456FEC">
            <w:pPr>
              <w:spacing w:line="240" w:lineRule="auto"/>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r w14:paraId="735538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372" w:type="dxa"/>
            <w:vMerge w:val="continue"/>
            <w:vAlign w:val="center"/>
          </w:tcPr>
          <w:p w14:paraId="362F2984">
            <w:pPr>
              <w:spacing w:line="240" w:lineRule="auto"/>
              <w:jc w:val="center"/>
              <w:rPr>
                <w:rFonts w:hint="eastAsia" w:ascii="Times New Roman" w:hAnsi="Times New Roman" w:eastAsia="宋体" w:cs="Times New Roman"/>
                <w:sz w:val="21"/>
                <w:szCs w:val="21"/>
                <w:lang w:val="en-US" w:eastAsia="zh-CN"/>
              </w:rPr>
            </w:pPr>
          </w:p>
        </w:tc>
        <w:tc>
          <w:tcPr>
            <w:tcW w:w="1961" w:type="dxa"/>
            <w:tcBorders>
              <w:right w:val="single" w:color="auto" w:sz="4" w:space="0"/>
            </w:tcBorders>
            <w:vAlign w:val="center"/>
          </w:tcPr>
          <w:p w14:paraId="66E037B9">
            <w:pPr>
              <w:spacing w:line="24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磐安县第四中学</w:t>
            </w:r>
          </w:p>
        </w:tc>
        <w:tc>
          <w:tcPr>
            <w:tcW w:w="975" w:type="dxa"/>
            <w:tcBorders>
              <w:left w:val="single" w:color="auto" w:sz="4" w:space="0"/>
            </w:tcBorders>
            <w:vAlign w:val="center"/>
          </w:tcPr>
          <w:p w14:paraId="0C168B96">
            <w:pPr>
              <w:spacing w:line="240" w:lineRule="auto"/>
              <w:jc w:val="center"/>
              <w:rPr>
                <w:rFonts w:hint="eastAsia" w:ascii="Times New Roman" w:hAnsi="Times New Roman" w:cs="Times New Roman"/>
                <w:kern w:val="2"/>
                <w:sz w:val="21"/>
                <w:szCs w:val="22"/>
                <w:lang w:val="en-US" w:eastAsia="zh-CN" w:bidi="ar-SA"/>
              </w:rPr>
            </w:pPr>
            <w:r>
              <w:rPr>
                <w:rFonts w:hint="eastAsia" w:ascii="Times New Roman" w:hAnsi="Times New Roman" w:eastAsia="宋体" w:cs="Times New Roman"/>
                <w:sz w:val="21"/>
                <w:szCs w:val="21"/>
                <w:lang w:val="en-US" w:eastAsia="zh-CN"/>
              </w:rPr>
              <w:t>南侧</w:t>
            </w:r>
          </w:p>
        </w:tc>
        <w:tc>
          <w:tcPr>
            <w:tcW w:w="1982" w:type="dxa"/>
            <w:vAlign w:val="center"/>
          </w:tcPr>
          <w:p w14:paraId="394A4F93">
            <w:pPr>
              <w:spacing w:line="240" w:lineRule="auto"/>
              <w:jc w:val="center"/>
              <w:rPr>
                <w:rFonts w:hint="eastAsia" w:ascii="Times New Roman" w:hAnsi="Times New Roman" w:cs="Times New Roman"/>
                <w:kern w:val="2"/>
                <w:sz w:val="21"/>
                <w:szCs w:val="22"/>
                <w:lang w:val="en-US" w:eastAsia="zh-CN" w:bidi="ar-SA"/>
              </w:rPr>
            </w:pPr>
            <w:r>
              <w:rPr>
                <w:rFonts w:hint="eastAsia" w:ascii="Times New Roman" w:hAnsi="Times New Roman" w:eastAsia="宋体" w:cs="Times New Roman"/>
                <w:sz w:val="21"/>
                <w:szCs w:val="21"/>
                <w:lang w:val="en-US" w:eastAsia="zh-CN"/>
              </w:rPr>
              <w:t>345m</w:t>
            </w:r>
          </w:p>
        </w:tc>
        <w:tc>
          <w:tcPr>
            <w:tcW w:w="1272" w:type="dxa"/>
            <w:shd w:val="clear" w:color="auto" w:fill="auto"/>
            <w:vAlign w:val="center"/>
          </w:tcPr>
          <w:p w14:paraId="2781FF8B">
            <w:pPr>
              <w:spacing w:line="240" w:lineRule="auto"/>
              <w:jc w:val="center"/>
              <w:rPr>
                <w:rFonts w:hint="eastAsia"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753" w:type="dxa"/>
            <w:shd w:val="clear" w:color="auto" w:fill="auto"/>
            <w:vAlign w:val="center"/>
          </w:tcPr>
          <w:p w14:paraId="5120A733">
            <w:pPr>
              <w:spacing w:line="240" w:lineRule="auto"/>
              <w:jc w:val="center"/>
              <w:rPr>
                <w:rFonts w:hint="eastAsia"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r w14:paraId="6989BE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372" w:type="dxa"/>
            <w:vMerge w:val="continue"/>
            <w:vAlign w:val="center"/>
          </w:tcPr>
          <w:p w14:paraId="3FAB57CC">
            <w:pPr>
              <w:spacing w:line="240" w:lineRule="auto"/>
              <w:jc w:val="center"/>
              <w:rPr>
                <w:rFonts w:hint="eastAsia" w:ascii="Times New Roman" w:hAnsi="Times New Roman" w:eastAsia="宋体" w:cs="Times New Roman"/>
                <w:sz w:val="21"/>
                <w:szCs w:val="21"/>
                <w:lang w:val="en-US" w:eastAsia="zh-CN"/>
              </w:rPr>
            </w:pPr>
          </w:p>
        </w:tc>
        <w:tc>
          <w:tcPr>
            <w:tcW w:w="1961" w:type="dxa"/>
            <w:tcBorders>
              <w:right w:val="single" w:color="auto" w:sz="4" w:space="0"/>
            </w:tcBorders>
            <w:vAlign w:val="center"/>
          </w:tcPr>
          <w:p w14:paraId="26533A9E">
            <w:pPr>
              <w:spacing w:line="24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里光洋村</w:t>
            </w:r>
          </w:p>
        </w:tc>
        <w:tc>
          <w:tcPr>
            <w:tcW w:w="975" w:type="dxa"/>
            <w:tcBorders>
              <w:left w:val="single" w:color="auto" w:sz="4" w:space="0"/>
            </w:tcBorders>
            <w:vAlign w:val="center"/>
          </w:tcPr>
          <w:p w14:paraId="5D2A2962">
            <w:pPr>
              <w:spacing w:line="240" w:lineRule="auto"/>
              <w:jc w:val="center"/>
              <w:rPr>
                <w:rFonts w:hint="eastAsia" w:ascii="Times New Roman" w:hAnsi="Times New Roman" w:cs="Times New Roman"/>
                <w:kern w:val="2"/>
                <w:sz w:val="21"/>
                <w:szCs w:val="22"/>
                <w:lang w:val="en-US" w:eastAsia="zh-CN" w:bidi="ar-SA"/>
              </w:rPr>
            </w:pPr>
            <w:r>
              <w:rPr>
                <w:rFonts w:hint="eastAsia" w:ascii="Times New Roman" w:hAnsi="Times New Roman" w:eastAsia="宋体" w:cs="Times New Roman"/>
                <w:sz w:val="21"/>
                <w:szCs w:val="21"/>
                <w:lang w:val="en-US" w:eastAsia="zh-CN"/>
              </w:rPr>
              <w:t>西北侧</w:t>
            </w:r>
          </w:p>
        </w:tc>
        <w:tc>
          <w:tcPr>
            <w:tcW w:w="1982" w:type="dxa"/>
            <w:vAlign w:val="center"/>
          </w:tcPr>
          <w:p w14:paraId="1C5FEB09">
            <w:pPr>
              <w:spacing w:line="240" w:lineRule="auto"/>
              <w:jc w:val="center"/>
              <w:rPr>
                <w:rFonts w:hint="eastAsia" w:ascii="Times New Roman" w:hAnsi="Times New Roman" w:cs="Times New Roman"/>
                <w:kern w:val="2"/>
                <w:sz w:val="21"/>
                <w:szCs w:val="22"/>
                <w:lang w:val="en-US" w:eastAsia="zh-CN" w:bidi="ar-SA"/>
              </w:rPr>
            </w:pPr>
            <w:r>
              <w:rPr>
                <w:rFonts w:hint="eastAsia" w:ascii="Times New Roman" w:hAnsi="Times New Roman" w:eastAsia="宋体" w:cs="Times New Roman"/>
                <w:sz w:val="21"/>
                <w:szCs w:val="21"/>
                <w:lang w:val="en-US" w:eastAsia="zh-CN"/>
              </w:rPr>
              <w:t>275m</w:t>
            </w:r>
          </w:p>
        </w:tc>
        <w:tc>
          <w:tcPr>
            <w:tcW w:w="1272" w:type="dxa"/>
            <w:shd w:val="clear" w:color="auto" w:fill="auto"/>
            <w:vAlign w:val="center"/>
          </w:tcPr>
          <w:p w14:paraId="27834F77">
            <w:pPr>
              <w:spacing w:line="240" w:lineRule="auto"/>
              <w:jc w:val="center"/>
              <w:rPr>
                <w:rFonts w:hint="eastAsia"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753" w:type="dxa"/>
            <w:shd w:val="clear" w:color="auto" w:fill="auto"/>
            <w:vAlign w:val="center"/>
          </w:tcPr>
          <w:p w14:paraId="18698E01">
            <w:pPr>
              <w:spacing w:line="240" w:lineRule="auto"/>
              <w:jc w:val="center"/>
              <w:rPr>
                <w:rFonts w:hint="eastAsia"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bl>
    <w:p w14:paraId="4B3B1080">
      <w:pPr>
        <w:pStyle w:val="14"/>
        <w:spacing w:beforeAutospacing="0" w:afterAutospacing="0"/>
        <w:jc w:val="center"/>
        <w:rPr>
          <w:rFonts w:hint="default" w:ascii="Times New Roman" w:hAnsi="Times New Roman" w:eastAsia="宋体" w:cs="Times New Roman"/>
          <w:b/>
          <w:bCs/>
          <w:kern w:val="2"/>
          <w:sz w:val="21"/>
          <w:szCs w:val="21"/>
          <w:lang w:val="en-US" w:eastAsia="zh-CN" w:bidi="ar-SA"/>
        </w:rPr>
      </w:pPr>
      <w:bookmarkStart w:id="27" w:name="_Hlk534829572"/>
    </w:p>
    <w:p w14:paraId="4DDD5F2B">
      <w:pPr>
        <w:pStyle w:val="14"/>
        <w:spacing w:beforeAutospacing="0" w:afterAutospacing="0"/>
        <w:jc w:val="center"/>
        <w:rPr>
          <w:rFonts w:hint="default" w:ascii="Times New Roman" w:hAnsi="Times New Roman" w:eastAsia="宋体" w:cs="Times New Roman"/>
          <w:b/>
          <w:bCs/>
          <w:kern w:val="2"/>
          <w:sz w:val="21"/>
          <w:szCs w:val="21"/>
          <w:lang w:val="en-US" w:eastAsia="zh-CN" w:bidi="ar-SA"/>
        </w:rPr>
      </w:pPr>
    </w:p>
    <w:p w14:paraId="43D23268">
      <w:pPr>
        <w:pStyle w:val="14"/>
        <w:keepNext w:val="0"/>
        <w:keepLines w:val="0"/>
        <w:pageBreakBefore w:val="0"/>
        <w:widowControl/>
        <w:tabs>
          <w:tab w:val="right" w:pos="8300"/>
        </w:tabs>
        <w:kinsoku/>
        <w:wordWrap/>
        <w:overflowPunct/>
        <w:topLinePunct w:val="0"/>
        <w:autoSpaceDE/>
        <w:autoSpaceDN/>
        <w:bidi w:val="0"/>
        <w:adjustRightInd/>
        <w:snapToGrid/>
        <w:spacing w:beforeAutospacing="0" w:afterAutospacing="0" w:line="80" w:lineRule="exact"/>
        <w:jc w:val="center"/>
        <w:textAlignment w:val="auto"/>
        <w:rPr>
          <w:rFonts w:hint="default" w:ascii="Times New Roman" w:hAnsi="Times New Roman" w:cs="Times New Roman"/>
          <w:sz w:val="10"/>
          <w:szCs w:val="10"/>
        </w:rPr>
      </w:pPr>
    </w:p>
    <w:tbl>
      <w:tblPr>
        <w:tblStyle w:val="3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14:paraId="77C66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4" w:hRule="atLeast"/>
        </w:trPr>
        <w:tc>
          <w:tcPr>
            <w:tcW w:w="9401" w:type="dxa"/>
            <w:vAlign w:val="center"/>
          </w:tcPr>
          <w:p w14:paraId="41B6DCDA">
            <w:pPr>
              <w:jc w:val="center"/>
              <w:rPr>
                <w:rFonts w:hint="eastAsia" w:eastAsiaTheme="minorEastAsia"/>
                <w:lang w:eastAsia="zh-CN"/>
              </w:rPr>
            </w:pPr>
            <w:r>
              <w:rPr>
                <w:rFonts w:hint="eastAsia" w:eastAsiaTheme="minorEastAsia"/>
                <w:lang w:eastAsia="zh-CN"/>
              </w:rPr>
              <w:drawing>
                <wp:inline distT="0" distB="0" distL="114300" distR="114300">
                  <wp:extent cx="5515610" cy="4900295"/>
                  <wp:effectExtent l="0" t="0" r="8890" b="14605"/>
                  <wp:docPr id="1" name="图片 1" descr="测点布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测点布置图"/>
                          <pic:cNvPicPr>
                            <a:picLocks noChangeAspect="1"/>
                          </pic:cNvPicPr>
                        </pic:nvPicPr>
                        <pic:blipFill>
                          <a:blip r:embed="rId13"/>
                          <a:stretch>
                            <a:fillRect/>
                          </a:stretch>
                        </pic:blipFill>
                        <pic:spPr>
                          <a:xfrm>
                            <a:off x="0" y="0"/>
                            <a:ext cx="5515610" cy="4900295"/>
                          </a:xfrm>
                          <a:prstGeom prst="rect">
                            <a:avLst/>
                          </a:prstGeom>
                        </pic:spPr>
                      </pic:pic>
                    </a:graphicData>
                  </a:graphic>
                </wp:inline>
              </w:drawing>
            </w:r>
          </w:p>
          <w:p w14:paraId="1A3407DE">
            <w:pPr>
              <w:jc w:val="center"/>
              <w:rPr>
                <w:rFonts w:hint="eastAsia" w:eastAsiaTheme="minorEastAsia"/>
                <w:lang w:eastAsia="zh-CN"/>
              </w:rPr>
            </w:pPr>
          </w:p>
          <w:p w14:paraId="01FD8DB9">
            <w:pPr>
              <w:jc w:val="center"/>
              <w:rPr>
                <w:rFonts w:hint="eastAsia" w:eastAsiaTheme="minorEastAsia"/>
                <w:lang w:eastAsia="zh-CN"/>
              </w:rPr>
            </w:pPr>
            <w:r>
              <w:rPr>
                <w:rFonts w:hint="eastAsia" w:eastAsiaTheme="minorEastAsia"/>
                <w:lang w:eastAsia="zh-CN"/>
              </w:rPr>
              <w:drawing>
                <wp:inline distT="0" distB="0" distL="114300" distR="114300">
                  <wp:extent cx="4064000" cy="2962910"/>
                  <wp:effectExtent l="0" t="0" r="12700" b="8890"/>
                  <wp:docPr id="14" name="图片 14" descr="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F"/>
                          <pic:cNvPicPr>
                            <a:picLocks noChangeAspect="1"/>
                          </pic:cNvPicPr>
                        </pic:nvPicPr>
                        <pic:blipFill>
                          <a:blip r:embed="rId14"/>
                          <a:stretch>
                            <a:fillRect/>
                          </a:stretch>
                        </pic:blipFill>
                        <pic:spPr>
                          <a:xfrm>
                            <a:off x="0" y="0"/>
                            <a:ext cx="4064000" cy="2962910"/>
                          </a:xfrm>
                          <a:prstGeom prst="rect">
                            <a:avLst/>
                          </a:prstGeom>
                        </pic:spPr>
                      </pic:pic>
                    </a:graphicData>
                  </a:graphic>
                </wp:inline>
              </w:drawing>
            </w:r>
          </w:p>
        </w:tc>
      </w:tr>
    </w:tbl>
    <w:p w14:paraId="53E94186">
      <w:pPr>
        <w:pStyle w:val="14"/>
        <w:spacing w:beforeAutospacing="0" w:afterAutospacing="0"/>
        <w:jc w:val="center"/>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kern w:val="2"/>
          <w:sz w:val="21"/>
          <w:szCs w:val="21"/>
          <w:lang w:val="en-US" w:eastAsia="zh-CN" w:bidi="ar-SA"/>
        </w:rPr>
        <w:t xml:space="preserve">图 </w:t>
      </w:r>
      <w:bookmarkEnd w:id="27"/>
      <w:r>
        <w:rPr>
          <w:rFonts w:hint="default" w:ascii="Times New Roman" w:hAnsi="Times New Roman" w:eastAsia="宋体" w:cs="Times New Roman"/>
          <w:b/>
          <w:bCs/>
          <w:kern w:val="2"/>
          <w:sz w:val="21"/>
          <w:szCs w:val="21"/>
          <w:lang w:val="en-US" w:eastAsia="zh-CN" w:bidi="ar-SA"/>
        </w:rPr>
        <w:t>3.1-</w:t>
      </w:r>
      <w:r>
        <w:rPr>
          <w:rFonts w:hint="eastAsia" w:ascii="Times New Roman" w:hAnsi="Times New Roman" w:eastAsia="宋体" w:cs="Times New Roman"/>
          <w:b/>
          <w:bCs/>
          <w:kern w:val="2"/>
          <w:sz w:val="21"/>
          <w:szCs w:val="21"/>
          <w:lang w:val="en-US" w:eastAsia="zh-CN" w:bidi="ar-SA"/>
        </w:rPr>
        <w:t>3</w:t>
      </w:r>
      <w:r>
        <w:rPr>
          <w:rFonts w:hint="default" w:ascii="Times New Roman" w:hAnsi="Times New Roman" w:eastAsia="宋体" w:cs="Times New Roman"/>
          <w:b/>
          <w:bCs/>
          <w:kern w:val="2"/>
          <w:sz w:val="21"/>
          <w:szCs w:val="21"/>
          <w:lang w:val="en-US" w:eastAsia="zh-CN" w:bidi="ar-SA"/>
        </w:rPr>
        <w:t xml:space="preserve">  项目厂区平面布置图</w:t>
      </w:r>
    </w:p>
    <w:p w14:paraId="2D9CE104">
      <w:pPr>
        <w:pStyle w:val="5"/>
        <w:rPr>
          <w:rFonts w:eastAsia="宋体"/>
        </w:rPr>
      </w:pPr>
      <w:bookmarkStart w:id="28" w:name="_Toc10859"/>
      <w:r>
        <w:rPr>
          <w:rFonts w:eastAsia="宋体"/>
        </w:rPr>
        <w:t>3.2建设内容</w:t>
      </w:r>
      <w:bookmarkEnd w:id="28"/>
    </w:p>
    <w:p w14:paraId="2069C624">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（1）项目名称：</w:t>
      </w:r>
      <w:r>
        <w:rPr>
          <w:rFonts w:hint="eastAsia" w:ascii="Times New Roman" w:hAnsi="Times New Roman" w:eastAsia="宋体" w:cs="Times New Roman"/>
          <w:sz w:val="24"/>
          <w:szCs w:val="24"/>
          <w:lang w:eastAsia="zh-CN"/>
        </w:rPr>
        <w:t>浙江汇鼎新材料有限公司年产10000万平方米耐碱玻纤网格布项目</w:t>
      </w:r>
    </w:p>
    <w:p w14:paraId="06F93BA7">
      <w:p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（2）项目性质：</w:t>
      </w:r>
      <w:r>
        <w:rPr>
          <w:rFonts w:hint="eastAsia" w:ascii="Times New Roman" w:hAnsi="Times New Roman" w:cs="Times New Roman"/>
          <w:sz w:val="24"/>
          <w:szCs w:val="24"/>
          <w:highlight w:val="none"/>
          <w:lang w:val="en-US" w:eastAsia="zh-CN"/>
        </w:rPr>
        <w:t>新建（迁建）</w:t>
      </w:r>
    </w:p>
    <w:p w14:paraId="228DF6FF">
      <w:pPr>
        <w:spacing w:line="360" w:lineRule="auto"/>
        <w:ind w:firstLine="480"/>
        <w:rPr>
          <w:rFonts w:hint="default" w:ascii="Times New Roman" w:hAnsi="Times New Roman" w:eastAsiaTheme="minorEastAsia"/>
          <w:sz w:val="24"/>
          <w:lang w:val="en-US" w:eastAsia="zh-CN"/>
        </w:rPr>
      </w:pPr>
      <w:r>
        <w:rPr>
          <w:rFonts w:ascii="Times New Roman" w:hAnsi="Times New Roman" w:cs="Times New Roman"/>
          <w:sz w:val="24"/>
          <w:szCs w:val="24"/>
        </w:rPr>
        <w:t>（3）建设地点：</w:t>
      </w:r>
      <w:r>
        <w:rPr>
          <w:rFonts w:hint="eastAsia" w:ascii="Times New Roman" w:hAnsi="Times New Roman" w:cs="Times New Roman"/>
          <w:sz w:val="24"/>
          <w:szCs w:val="24"/>
          <w:lang w:eastAsia="zh-CN"/>
        </w:rPr>
        <w:t>浙江省金华市磐安县尖山镇塑料产业园一街96号</w:t>
      </w:r>
    </w:p>
    <w:p w14:paraId="579E3FEC">
      <w:pPr>
        <w:spacing w:line="360" w:lineRule="auto"/>
        <w:ind w:firstLine="480"/>
        <w:rPr>
          <w:rFonts w:ascii="Times New Roman" w:hAnsi="Times New Roman" w:cs="Times New Roman"/>
          <w:sz w:val="24"/>
          <w:szCs w:val="24"/>
        </w:rPr>
      </w:pPr>
      <w:r>
        <w:rPr>
          <w:rFonts w:ascii="Times New Roman" w:hAnsi="Times New Roman" w:cs="Times New Roman"/>
          <w:sz w:val="24"/>
          <w:szCs w:val="24"/>
        </w:rPr>
        <w:t>（4）项目总投资、生产组织方式及劳动定员</w:t>
      </w:r>
    </w:p>
    <w:p w14:paraId="21F30102">
      <w:pPr>
        <w:spacing w:line="360" w:lineRule="auto"/>
        <w:ind w:firstLine="48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实际总投资4300万元，环保实际投资25万元，占总投资0.58%。本项目全厂员工人数36人，采用单班制生产，日作业时间为8h（夜间不生产），年工作300天，厂区内设食堂、宿舍等生活配套设施，食堂仅提供蒸饭服务。</w:t>
      </w:r>
    </w:p>
    <w:p w14:paraId="0A03B37D">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14:paraId="274605FE">
      <w:pPr>
        <w:spacing w:line="360" w:lineRule="auto"/>
        <w:ind w:firstLine="480"/>
        <w:rPr>
          <w:rFonts w:hint="eastAsia" w:ascii="Times New Roman" w:hAnsi="Times New Roman" w:cs="Times New Roman"/>
          <w:sz w:val="24"/>
          <w:szCs w:val="24"/>
        </w:rPr>
      </w:pPr>
      <w:r>
        <w:rPr>
          <w:rFonts w:hint="eastAsia" w:ascii="Times New Roman" w:hAnsi="Times New Roman" w:cs="Times New Roman"/>
          <w:sz w:val="24"/>
          <w:szCs w:val="24"/>
          <w:highlight w:val="none"/>
          <w:lang w:val="en-US" w:eastAsia="zh-CN"/>
        </w:rPr>
        <w:t>组成包括主体工程、储运工程、公用工程、环保工程等，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14:paraId="1CB5CB3C">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 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2"/>
        <w:tblW w:w="4885"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649"/>
        <w:gridCol w:w="3256"/>
        <w:gridCol w:w="3269"/>
        <w:gridCol w:w="1365"/>
      </w:tblGrid>
      <w:tr w14:paraId="44CCA9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296" w:type="dxa"/>
            <w:gridSpan w:val="2"/>
            <w:vAlign w:val="center"/>
          </w:tcPr>
          <w:p w14:paraId="2197EA11">
            <w:pPr>
              <w:spacing w:line="360" w:lineRule="auto"/>
              <w:jc w:val="center"/>
              <w:rPr>
                <w:rFonts w:hint="default" w:ascii="Times New Roman" w:hAnsi="Times New Roman" w:eastAsia="宋体" w:cs="Times New Roman"/>
                <w:sz w:val="21"/>
                <w:szCs w:val="21"/>
              </w:rPr>
            </w:pPr>
            <w:bookmarkStart w:id="29" w:name="_Hlk14792919"/>
            <w:r>
              <w:rPr>
                <w:rFonts w:hint="default" w:ascii="Times New Roman" w:hAnsi="Times New Roman" w:eastAsia="宋体" w:cs="Times New Roman"/>
                <w:b/>
                <w:bCs/>
                <w:snapToGrid w:val="0"/>
                <w:spacing w:val="-10"/>
                <w:kern w:val="24"/>
                <w:sz w:val="21"/>
                <w:szCs w:val="21"/>
              </w:rPr>
              <w:t>项目工程</w:t>
            </w:r>
          </w:p>
        </w:tc>
        <w:tc>
          <w:tcPr>
            <w:tcW w:w="3256" w:type="dxa"/>
            <w:vAlign w:val="center"/>
          </w:tcPr>
          <w:p w14:paraId="150D6E8B">
            <w:pPr>
              <w:spacing w:line="360" w:lineRule="auto"/>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269" w:type="dxa"/>
            <w:vAlign w:val="center"/>
          </w:tcPr>
          <w:p w14:paraId="5D7078D0">
            <w:pPr>
              <w:spacing w:line="360" w:lineRule="auto"/>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365" w:type="dxa"/>
            <w:vAlign w:val="center"/>
          </w:tcPr>
          <w:p w14:paraId="3B02D3AC">
            <w:pPr>
              <w:spacing w:line="360" w:lineRule="auto"/>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14:paraId="26E8C4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96" w:type="dxa"/>
            <w:gridSpan w:val="2"/>
            <w:vAlign w:val="center"/>
          </w:tcPr>
          <w:p w14:paraId="2FDDF125">
            <w:pPr>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建设规模</w:t>
            </w:r>
          </w:p>
        </w:tc>
        <w:tc>
          <w:tcPr>
            <w:tcW w:w="3256" w:type="dxa"/>
            <w:vAlign w:val="center"/>
          </w:tcPr>
          <w:p w14:paraId="6684F177">
            <w:pPr>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年产10000万平方米耐碱玻纤网格布</w:t>
            </w:r>
          </w:p>
        </w:tc>
        <w:tc>
          <w:tcPr>
            <w:tcW w:w="3269" w:type="dxa"/>
            <w:vAlign w:val="center"/>
          </w:tcPr>
          <w:p w14:paraId="25873F69">
            <w:pPr>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年产2000万平方米耐碱玻纤网格布</w:t>
            </w:r>
          </w:p>
        </w:tc>
        <w:tc>
          <w:tcPr>
            <w:tcW w:w="1365" w:type="dxa"/>
            <w:vAlign w:val="center"/>
          </w:tcPr>
          <w:p w14:paraId="36C95A36">
            <w:pPr>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先行验收</w:t>
            </w:r>
          </w:p>
        </w:tc>
      </w:tr>
      <w:tr w14:paraId="11CEE2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21" w:hRule="atLeast"/>
        </w:trPr>
        <w:tc>
          <w:tcPr>
            <w:tcW w:w="647" w:type="dxa"/>
            <w:vAlign w:val="center"/>
          </w:tcPr>
          <w:p w14:paraId="462B4DAE">
            <w:pPr>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主体工程</w:t>
            </w:r>
          </w:p>
        </w:tc>
        <w:tc>
          <w:tcPr>
            <w:tcW w:w="649" w:type="dxa"/>
            <w:vAlign w:val="center"/>
          </w:tcPr>
          <w:p w14:paraId="5B9413F7">
            <w:pPr>
              <w:spacing w:line="240" w:lineRule="auto"/>
              <w:jc w:val="center"/>
              <w:rPr>
                <w:rFonts w:hint="default" w:ascii="Times New Roman" w:hAnsi="Times New Roman" w:eastAsia="宋体" w:cs="Times New Roman"/>
                <w:snapToGrid w:val="0"/>
                <w:spacing w:val="-10"/>
                <w:kern w:val="24"/>
                <w:sz w:val="21"/>
                <w:szCs w:val="21"/>
                <w:lang w:val="en-US" w:eastAsia="zh-CN" w:bidi="ar-SA"/>
              </w:rPr>
            </w:pPr>
            <w:r>
              <w:rPr>
                <w:rFonts w:hint="eastAsia" w:ascii="Times New Roman" w:hAnsi="Times New Roman" w:eastAsia="宋体" w:cs="Times New Roman"/>
                <w:snapToGrid w:val="0"/>
                <w:spacing w:val="-10"/>
                <w:kern w:val="24"/>
                <w:sz w:val="21"/>
                <w:szCs w:val="21"/>
                <w:lang w:val="en-US" w:eastAsia="zh-CN" w:bidi="ar-SA"/>
              </w:rPr>
              <w:t>生产车间</w:t>
            </w:r>
          </w:p>
        </w:tc>
        <w:tc>
          <w:tcPr>
            <w:tcW w:w="3256" w:type="dxa"/>
            <w:vAlign w:val="center"/>
          </w:tcPr>
          <w:p w14:paraId="12FFE10C">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利用位于磐安县尖山镇塑料产业园一街96号自有地块新建厂房实施本次迁建项目新建1栋5层厂房（1#）、1栋1层厂房（2#，钢结构）实施生产，1#厂房布设整经机、剑杆织机、原料仓库、危废仓库等，2#厂房布设涂覆上胶机、塑封机</w:t>
            </w:r>
          </w:p>
        </w:tc>
        <w:tc>
          <w:tcPr>
            <w:tcW w:w="3269" w:type="dxa"/>
            <w:vAlign w:val="center"/>
          </w:tcPr>
          <w:p w14:paraId="20100DAD">
            <w:pPr>
              <w:spacing w:line="240" w:lineRule="auto"/>
              <w:jc w:val="left"/>
              <w:rPr>
                <w:rFonts w:hint="eastAsia" w:ascii="Times New Roman" w:hAnsi="Times New Roman" w:cs="Times New Roman"/>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利用位于磐安县尖山镇塑料产业园一街96号自有地块新建厂房实施本次迁建项目</w:t>
            </w:r>
            <w:r>
              <w:rPr>
                <w:rFonts w:hint="eastAsia" w:ascii="Times New Roman" w:hAnsi="Times New Roman" w:cs="Times New Roman"/>
                <w:kern w:val="2"/>
                <w:sz w:val="21"/>
                <w:szCs w:val="22"/>
                <w:lang w:val="en-US" w:eastAsia="zh-CN" w:bidi="ar-SA"/>
              </w:rPr>
              <w:t>，</w:t>
            </w:r>
            <w:r>
              <w:rPr>
                <w:rFonts w:hint="default" w:ascii="Times New Roman" w:hAnsi="Times New Roman" w:cs="Times New Roman" w:eastAsiaTheme="minorEastAsia"/>
                <w:kern w:val="2"/>
                <w:sz w:val="21"/>
                <w:szCs w:val="22"/>
                <w:lang w:val="en-US" w:eastAsia="zh-CN" w:bidi="ar-SA"/>
              </w:rPr>
              <w:t>新建1栋5层厂房（</w:t>
            </w:r>
            <w:r>
              <w:rPr>
                <w:rFonts w:hint="eastAsia" w:ascii="Times New Roman" w:hAnsi="Times New Roman" w:cs="Times New Roman"/>
                <w:kern w:val="2"/>
                <w:sz w:val="21"/>
                <w:szCs w:val="22"/>
                <w:lang w:val="en-US" w:eastAsia="zh-CN" w:bidi="ar-SA"/>
              </w:rPr>
              <w:t>综合楼</w:t>
            </w:r>
            <w:r>
              <w:rPr>
                <w:rFonts w:hint="default" w:ascii="Times New Roman" w:hAnsi="Times New Roman" w:cs="Times New Roman" w:eastAsiaTheme="minorEastAsia"/>
                <w:kern w:val="2"/>
                <w:sz w:val="21"/>
                <w:szCs w:val="22"/>
                <w:lang w:val="en-US" w:eastAsia="zh-CN" w:bidi="ar-SA"/>
              </w:rPr>
              <w:t>）、1栋</w:t>
            </w:r>
            <w:r>
              <w:rPr>
                <w:rFonts w:hint="eastAsia" w:ascii="Times New Roman" w:hAnsi="Times New Roman" w:cs="Times New Roman"/>
                <w:kern w:val="2"/>
                <w:sz w:val="21"/>
                <w:szCs w:val="22"/>
                <w:lang w:val="en-US" w:eastAsia="zh-CN" w:bidi="ar-SA"/>
              </w:rPr>
              <w:t>2</w:t>
            </w:r>
            <w:r>
              <w:rPr>
                <w:rFonts w:hint="default" w:ascii="Times New Roman" w:hAnsi="Times New Roman" w:cs="Times New Roman" w:eastAsiaTheme="minorEastAsia"/>
                <w:kern w:val="2"/>
                <w:sz w:val="21"/>
                <w:szCs w:val="22"/>
                <w:lang w:val="en-US" w:eastAsia="zh-CN" w:bidi="ar-SA"/>
              </w:rPr>
              <w:t>层厂房（</w:t>
            </w:r>
            <w:r>
              <w:rPr>
                <w:rFonts w:hint="eastAsia" w:ascii="Times New Roman" w:hAnsi="Times New Roman" w:cs="Times New Roman"/>
                <w:kern w:val="2"/>
                <w:sz w:val="21"/>
                <w:szCs w:val="22"/>
                <w:lang w:val="en-US" w:eastAsia="zh-CN" w:bidi="ar-SA"/>
              </w:rPr>
              <w:t>1#厂房</w:t>
            </w:r>
            <w:r>
              <w:rPr>
                <w:rFonts w:hint="default" w:ascii="Times New Roman" w:hAnsi="Times New Roman" w:cs="Times New Roman" w:eastAsiaTheme="minorEastAsia"/>
                <w:kern w:val="2"/>
                <w:sz w:val="21"/>
                <w:szCs w:val="22"/>
                <w:lang w:val="en-US" w:eastAsia="zh-CN" w:bidi="ar-SA"/>
              </w:rPr>
              <w:t>）</w:t>
            </w:r>
            <w:r>
              <w:rPr>
                <w:rFonts w:hint="eastAsia" w:ascii="Times New Roman" w:hAnsi="Times New Roman" w:cs="Times New Roman"/>
                <w:kern w:val="2"/>
                <w:sz w:val="21"/>
                <w:szCs w:val="22"/>
                <w:lang w:val="en-US" w:eastAsia="zh-CN" w:bidi="ar-SA"/>
              </w:rPr>
              <w:t>、1栋1层厂房（2</w:t>
            </w:r>
            <w:r>
              <w:rPr>
                <w:rFonts w:hint="default" w:ascii="Times New Roman" w:hAnsi="Times New Roman" w:cs="Times New Roman" w:eastAsiaTheme="minorEastAsia"/>
                <w:kern w:val="2"/>
                <w:sz w:val="21"/>
                <w:szCs w:val="22"/>
                <w:lang w:val="en-US" w:eastAsia="zh-CN" w:bidi="ar-SA"/>
              </w:rPr>
              <w:t>#，钢结构</w:t>
            </w:r>
            <w:r>
              <w:rPr>
                <w:rFonts w:hint="eastAsia" w:ascii="Times New Roman" w:hAnsi="Times New Roman" w:cs="Times New Roman"/>
                <w:kern w:val="2"/>
                <w:sz w:val="21"/>
                <w:szCs w:val="22"/>
                <w:lang w:val="en-US" w:eastAsia="zh-CN" w:bidi="ar-SA"/>
              </w:rPr>
              <w:t>）</w:t>
            </w:r>
            <w:r>
              <w:rPr>
                <w:rFonts w:hint="default" w:ascii="Times New Roman" w:hAnsi="Times New Roman" w:cs="Times New Roman" w:eastAsiaTheme="minorEastAsia"/>
                <w:kern w:val="2"/>
                <w:sz w:val="21"/>
                <w:szCs w:val="22"/>
                <w:lang w:val="en-US" w:eastAsia="zh-CN" w:bidi="ar-SA"/>
              </w:rPr>
              <w:t>实施生产</w:t>
            </w:r>
            <w:r>
              <w:rPr>
                <w:rFonts w:hint="eastAsia" w:ascii="Times New Roman" w:hAnsi="Times New Roman" w:cs="Times New Roman"/>
                <w:kern w:val="2"/>
                <w:sz w:val="21"/>
                <w:szCs w:val="22"/>
                <w:lang w:val="en-US" w:eastAsia="zh-CN" w:bidi="ar-SA"/>
              </w:rPr>
              <w:t>。</w:t>
            </w:r>
          </w:p>
          <w:p w14:paraId="5348CD47">
            <w:pPr>
              <w:spacing w:line="240" w:lineRule="auto"/>
              <w:jc w:val="left"/>
              <w:rPr>
                <w:rFonts w:hint="default"/>
                <w:lang w:val="en-US"/>
              </w:rPr>
            </w:pPr>
            <w:r>
              <w:rPr>
                <w:rFonts w:hint="default" w:ascii="Times New Roman" w:hAnsi="Times New Roman" w:cs="Times New Roman" w:eastAsiaTheme="minorEastAsia"/>
                <w:kern w:val="2"/>
                <w:sz w:val="21"/>
                <w:szCs w:val="22"/>
                <w:lang w:val="en-US" w:eastAsia="zh-CN" w:bidi="ar-SA"/>
              </w:rPr>
              <w:t>1#厂房</w:t>
            </w:r>
            <w:r>
              <w:rPr>
                <w:rFonts w:hint="eastAsia" w:ascii="Times New Roman" w:hAnsi="Times New Roman" w:cs="Times New Roman"/>
                <w:kern w:val="2"/>
                <w:sz w:val="21"/>
                <w:szCs w:val="22"/>
                <w:lang w:val="en-US" w:eastAsia="zh-CN" w:bidi="ar-SA"/>
              </w:rPr>
              <w:t>1F</w:t>
            </w:r>
            <w:r>
              <w:rPr>
                <w:rFonts w:hint="default" w:ascii="Times New Roman" w:hAnsi="Times New Roman" w:cs="Times New Roman" w:eastAsiaTheme="minorEastAsia"/>
                <w:kern w:val="2"/>
                <w:sz w:val="21"/>
                <w:szCs w:val="22"/>
                <w:lang w:val="en-US" w:eastAsia="zh-CN" w:bidi="ar-SA"/>
              </w:rPr>
              <w:t>布设</w:t>
            </w:r>
            <w:r>
              <w:rPr>
                <w:rFonts w:hint="eastAsia" w:ascii="Times New Roman" w:hAnsi="Times New Roman" w:cs="Times New Roman"/>
                <w:kern w:val="2"/>
                <w:sz w:val="21"/>
                <w:szCs w:val="22"/>
                <w:lang w:val="en-US" w:eastAsia="zh-CN" w:bidi="ar-SA"/>
              </w:rPr>
              <w:t>整经A区、纺织A区、物料堆放区；</w:t>
            </w:r>
            <w:r>
              <w:rPr>
                <w:rFonts w:hint="default" w:ascii="Times New Roman" w:hAnsi="Times New Roman" w:cs="Times New Roman" w:eastAsiaTheme="minorEastAsia"/>
                <w:kern w:val="2"/>
                <w:sz w:val="21"/>
                <w:szCs w:val="22"/>
                <w:lang w:val="en-US" w:eastAsia="zh-CN" w:bidi="ar-SA"/>
              </w:rPr>
              <w:t>1#厂房</w:t>
            </w:r>
            <w:r>
              <w:rPr>
                <w:rFonts w:hint="eastAsia" w:ascii="Times New Roman" w:hAnsi="Times New Roman" w:cs="Times New Roman"/>
                <w:kern w:val="2"/>
                <w:sz w:val="21"/>
                <w:szCs w:val="22"/>
                <w:lang w:val="en-US" w:eastAsia="zh-CN" w:bidi="ar-SA"/>
              </w:rPr>
              <w:t>2F</w:t>
            </w:r>
            <w:r>
              <w:rPr>
                <w:rFonts w:hint="default" w:ascii="Times New Roman" w:hAnsi="Times New Roman" w:cs="Times New Roman" w:eastAsiaTheme="minorEastAsia"/>
                <w:kern w:val="2"/>
                <w:sz w:val="21"/>
                <w:szCs w:val="22"/>
                <w:lang w:val="en-US" w:eastAsia="zh-CN" w:bidi="ar-SA"/>
              </w:rPr>
              <w:t>布设</w:t>
            </w:r>
            <w:r>
              <w:rPr>
                <w:rFonts w:hint="eastAsia" w:ascii="Times New Roman" w:hAnsi="Times New Roman" w:cs="Times New Roman"/>
                <w:kern w:val="2"/>
                <w:sz w:val="21"/>
                <w:szCs w:val="22"/>
                <w:lang w:val="en-US" w:eastAsia="zh-CN" w:bidi="ar-SA"/>
              </w:rPr>
              <w:t>整经B区、纺织B区、物料堆放区；2</w:t>
            </w:r>
            <w:r>
              <w:rPr>
                <w:rFonts w:hint="default" w:ascii="Times New Roman" w:hAnsi="Times New Roman" w:cs="Times New Roman" w:eastAsiaTheme="minorEastAsia"/>
                <w:kern w:val="2"/>
                <w:sz w:val="21"/>
                <w:szCs w:val="22"/>
                <w:lang w:val="en-US" w:eastAsia="zh-CN" w:bidi="ar-SA"/>
              </w:rPr>
              <w:t>#厂房</w:t>
            </w:r>
            <w:r>
              <w:rPr>
                <w:rFonts w:hint="eastAsia" w:ascii="Times New Roman" w:hAnsi="Times New Roman" w:cs="Times New Roman"/>
                <w:kern w:val="2"/>
                <w:sz w:val="21"/>
                <w:szCs w:val="22"/>
                <w:lang w:val="en-US" w:eastAsia="zh-CN" w:bidi="ar-SA"/>
              </w:rPr>
              <w:t>1F</w:t>
            </w:r>
            <w:r>
              <w:rPr>
                <w:rFonts w:hint="default" w:ascii="Times New Roman" w:hAnsi="Times New Roman" w:cs="Times New Roman" w:eastAsiaTheme="minorEastAsia"/>
                <w:kern w:val="2"/>
                <w:sz w:val="21"/>
                <w:szCs w:val="22"/>
                <w:lang w:val="en-US" w:eastAsia="zh-CN" w:bidi="ar-SA"/>
              </w:rPr>
              <w:t>布设</w:t>
            </w:r>
            <w:r>
              <w:rPr>
                <w:rFonts w:hint="eastAsia" w:ascii="Times New Roman" w:hAnsi="Times New Roman" w:cs="Times New Roman"/>
                <w:kern w:val="2"/>
                <w:sz w:val="21"/>
                <w:szCs w:val="22"/>
                <w:lang w:val="en-US" w:eastAsia="zh-CN" w:bidi="ar-SA"/>
              </w:rPr>
              <w:t>整经C区、纺织C区、纺织D区、半成品区、物料堆放区、滚胶烘干区；2#厂房阁楼布设成品区、危废仓库；综合楼1F为大厅/办公室，2F东面为展厅、西面为宿舍，3F为宿舍，4F、5F为总裁办公室。</w:t>
            </w:r>
          </w:p>
        </w:tc>
        <w:tc>
          <w:tcPr>
            <w:tcW w:w="1365" w:type="dxa"/>
            <w:vAlign w:val="center"/>
          </w:tcPr>
          <w:p w14:paraId="2A6FCD2E">
            <w:pPr>
              <w:spacing w:line="240" w:lineRule="auto"/>
              <w:jc w:val="center"/>
              <w:rPr>
                <w:rFonts w:hint="eastAsia" w:ascii="Times New Roman" w:hAnsi="Times New Roman" w:eastAsia="宋体" w:cs="Times New Roman"/>
                <w:snapToGrid w:val="0"/>
                <w:color w:val="auto"/>
                <w:spacing w:val="-10"/>
                <w:kern w:val="24"/>
                <w:sz w:val="21"/>
                <w:szCs w:val="21"/>
                <w:highlight w:val="none"/>
                <w:lang w:val="en-US" w:eastAsia="zh-CN"/>
              </w:rPr>
            </w:pPr>
            <w:r>
              <w:rPr>
                <w:rFonts w:hint="eastAsia" w:ascii="Times New Roman" w:hAnsi="Times New Roman" w:eastAsia="宋体" w:cs="Times New Roman"/>
                <w:snapToGrid w:val="0"/>
                <w:color w:val="auto"/>
                <w:spacing w:val="-10"/>
                <w:kern w:val="24"/>
                <w:sz w:val="21"/>
                <w:szCs w:val="21"/>
                <w:highlight w:val="none"/>
                <w:lang w:val="en-US" w:eastAsia="zh-CN"/>
              </w:rPr>
              <w:t>基本一致</w:t>
            </w:r>
          </w:p>
          <w:p w14:paraId="4A0E480D">
            <w:pPr>
              <w:spacing w:line="240" w:lineRule="auto"/>
              <w:jc w:val="center"/>
              <w:rPr>
                <w:rFonts w:hint="default" w:ascii="Times New Roman" w:hAnsi="Times New Roman" w:eastAsia="宋体" w:cs="Times New Roman"/>
                <w:snapToGrid w:val="0"/>
                <w:color w:val="auto"/>
                <w:spacing w:val="-10"/>
                <w:kern w:val="24"/>
                <w:sz w:val="21"/>
                <w:szCs w:val="21"/>
                <w:highlight w:val="none"/>
                <w:lang w:val="en-US" w:eastAsia="zh-CN"/>
              </w:rPr>
            </w:pPr>
            <w:r>
              <w:rPr>
                <w:rFonts w:hint="eastAsia" w:ascii="Times New Roman" w:hAnsi="Times New Roman" w:eastAsia="宋体" w:cs="Times New Roman"/>
                <w:b/>
                <w:bCs/>
                <w:snapToGrid w:val="0"/>
                <w:color w:val="auto"/>
                <w:spacing w:val="-10"/>
                <w:kern w:val="24"/>
                <w:sz w:val="21"/>
                <w:szCs w:val="21"/>
                <w:highlight w:val="none"/>
                <w:lang w:val="en-US" w:eastAsia="zh-CN"/>
              </w:rPr>
              <w:t>生产车间布局的变化不会导致环境防护距离变动</w:t>
            </w:r>
          </w:p>
        </w:tc>
      </w:tr>
      <w:tr w14:paraId="207DC6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restart"/>
            <w:vAlign w:val="center"/>
          </w:tcPr>
          <w:p w14:paraId="5A45D127">
            <w:pPr>
              <w:pStyle w:val="123"/>
              <w:spacing w:line="240" w:lineRule="auto"/>
              <w:ind w:firstLine="0"/>
              <w:jc w:val="center"/>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储运工程</w:t>
            </w:r>
          </w:p>
        </w:tc>
        <w:tc>
          <w:tcPr>
            <w:tcW w:w="649" w:type="dxa"/>
            <w:vMerge w:val="restart"/>
            <w:vAlign w:val="center"/>
          </w:tcPr>
          <w:p w14:paraId="242531FE">
            <w:pPr>
              <w:widowControl/>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物料储存</w:t>
            </w:r>
          </w:p>
        </w:tc>
        <w:tc>
          <w:tcPr>
            <w:tcW w:w="3256" w:type="dxa"/>
            <w:vAlign w:val="center"/>
          </w:tcPr>
          <w:p w14:paraId="57CBCF23">
            <w:pPr>
              <w:spacing w:line="240" w:lineRule="auto"/>
              <w:jc w:val="left"/>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eastAsiaTheme="minorEastAsia"/>
                <w:kern w:val="2"/>
                <w:sz w:val="21"/>
                <w:szCs w:val="22"/>
                <w:lang w:val="en-US" w:eastAsia="zh-CN" w:bidi="ar-SA"/>
              </w:rPr>
              <w:t>原料暂存于1#厂房1楼仓库</w:t>
            </w:r>
          </w:p>
        </w:tc>
        <w:tc>
          <w:tcPr>
            <w:tcW w:w="3269" w:type="dxa"/>
            <w:vAlign w:val="center"/>
          </w:tcPr>
          <w:p w14:paraId="1F50602B">
            <w:pPr>
              <w:spacing w:line="240" w:lineRule="auto"/>
              <w:jc w:val="left"/>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原料暂存于各生产车间</w:t>
            </w:r>
          </w:p>
        </w:tc>
        <w:tc>
          <w:tcPr>
            <w:tcW w:w="1365" w:type="dxa"/>
            <w:vMerge w:val="restart"/>
            <w:vAlign w:val="center"/>
          </w:tcPr>
          <w:p w14:paraId="7440CCCE">
            <w:pPr>
              <w:spacing w:line="240" w:lineRule="auto"/>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基本一致</w:t>
            </w:r>
          </w:p>
          <w:p w14:paraId="259AAF97">
            <w:pPr>
              <w:spacing w:line="240" w:lineRule="auto"/>
              <w:jc w:val="center"/>
              <w:rPr>
                <w:rFonts w:hint="eastAsia" w:ascii="Times New Roman" w:hAnsi="Times New Roman" w:cs="Times New Roman" w:eastAsiaTheme="minorEastAsia"/>
                <w:szCs w:val="21"/>
                <w:lang w:val="en-US" w:eastAsia="zh-CN"/>
              </w:rPr>
            </w:pPr>
            <w:r>
              <w:rPr>
                <w:rFonts w:hint="eastAsia" w:ascii="Times New Roman" w:hAnsi="Times New Roman" w:eastAsia="宋体" w:cs="Times New Roman"/>
                <w:b/>
                <w:bCs/>
                <w:snapToGrid w:val="0"/>
                <w:color w:val="auto"/>
                <w:spacing w:val="-10"/>
                <w:kern w:val="24"/>
                <w:sz w:val="21"/>
                <w:szCs w:val="21"/>
                <w:highlight w:val="none"/>
                <w:lang w:val="en-US" w:eastAsia="zh-CN"/>
              </w:rPr>
              <w:t>不会导致环境防护距离变动</w:t>
            </w:r>
          </w:p>
        </w:tc>
      </w:tr>
      <w:tr w14:paraId="0F6891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70BBE8F5">
            <w:pPr>
              <w:pStyle w:val="123"/>
              <w:spacing w:line="240" w:lineRule="auto"/>
              <w:ind w:firstLine="0"/>
              <w:jc w:val="center"/>
              <w:rPr>
                <w:rFonts w:hint="default" w:ascii="Times New Roman" w:hAnsi="Times New Roman" w:eastAsia="宋体" w:cs="Times New Roman"/>
                <w:sz w:val="21"/>
                <w:szCs w:val="21"/>
              </w:rPr>
            </w:pPr>
          </w:p>
        </w:tc>
        <w:tc>
          <w:tcPr>
            <w:tcW w:w="649" w:type="dxa"/>
            <w:vMerge w:val="continue"/>
            <w:vAlign w:val="center"/>
          </w:tcPr>
          <w:p w14:paraId="2C11021E">
            <w:pPr>
              <w:widowControl/>
              <w:jc w:val="center"/>
              <w:rPr>
                <w:rFonts w:hint="default" w:ascii="Times New Roman" w:hAnsi="Times New Roman" w:eastAsia="宋体" w:cs="Times New Roman"/>
                <w:kern w:val="0"/>
                <w:sz w:val="21"/>
                <w:szCs w:val="21"/>
                <w:lang w:val="en-US" w:eastAsia="zh-CN"/>
              </w:rPr>
            </w:pPr>
          </w:p>
        </w:tc>
        <w:tc>
          <w:tcPr>
            <w:tcW w:w="3256" w:type="dxa"/>
            <w:vAlign w:val="center"/>
          </w:tcPr>
          <w:p w14:paraId="2F520B49">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成品暂存于1#厂房5楼仓库</w:t>
            </w:r>
          </w:p>
        </w:tc>
        <w:tc>
          <w:tcPr>
            <w:tcW w:w="3269" w:type="dxa"/>
            <w:vAlign w:val="center"/>
          </w:tcPr>
          <w:p w14:paraId="07410CB2">
            <w:pPr>
              <w:spacing w:line="240" w:lineRule="auto"/>
              <w:jc w:val="left"/>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成品暂存于2#厂房阁楼</w:t>
            </w:r>
          </w:p>
        </w:tc>
        <w:tc>
          <w:tcPr>
            <w:tcW w:w="1365" w:type="dxa"/>
            <w:vMerge w:val="continue"/>
            <w:vAlign w:val="center"/>
          </w:tcPr>
          <w:p w14:paraId="7F3531BE">
            <w:pPr>
              <w:spacing w:line="240" w:lineRule="auto"/>
              <w:jc w:val="center"/>
              <w:rPr>
                <w:rFonts w:ascii="Times New Roman" w:hAnsi="Times New Roman" w:cs="Times New Roman"/>
                <w:szCs w:val="21"/>
              </w:rPr>
            </w:pPr>
          </w:p>
        </w:tc>
      </w:tr>
      <w:tr w14:paraId="4DFD01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6962366A">
            <w:pPr>
              <w:pStyle w:val="123"/>
              <w:spacing w:line="240" w:lineRule="auto"/>
              <w:ind w:firstLine="0"/>
              <w:jc w:val="center"/>
              <w:rPr>
                <w:rFonts w:hint="default" w:ascii="Times New Roman" w:hAnsi="Times New Roman" w:eastAsia="宋体" w:cs="Times New Roman"/>
                <w:sz w:val="21"/>
                <w:szCs w:val="21"/>
              </w:rPr>
            </w:pPr>
          </w:p>
        </w:tc>
        <w:tc>
          <w:tcPr>
            <w:tcW w:w="649" w:type="dxa"/>
            <w:vAlign w:val="center"/>
          </w:tcPr>
          <w:p w14:paraId="76268016">
            <w:pPr>
              <w:widowControl/>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物料运输</w:t>
            </w:r>
          </w:p>
        </w:tc>
        <w:tc>
          <w:tcPr>
            <w:tcW w:w="3256" w:type="dxa"/>
            <w:vAlign w:val="center"/>
          </w:tcPr>
          <w:p w14:paraId="6C3B256E">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项目原料和产品均用汽车运输</w:t>
            </w:r>
          </w:p>
        </w:tc>
        <w:tc>
          <w:tcPr>
            <w:tcW w:w="3269" w:type="dxa"/>
            <w:shd w:val="clear" w:color="auto" w:fill="auto"/>
            <w:vAlign w:val="center"/>
          </w:tcPr>
          <w:p w14:paraId="1F52A2E5">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项目原料和产品均用汽车运输</w:t>
            </w:r>
          </w:p>
        </w:tc>
        <w:tc>
          <w:tcPr>
            <w:tcW w:w="1365" w:type="dxa"/>
            <w:vAlign w:val="center"/>
          </w:tcPr>
          <w:p w14:paraId="684736D1">
            <w:pPr>
              <w:spacing w:line="240" w:lineRule="auto"/>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一致</w:t>
            </w:r>
          </w:p>
        </w:tc>
      </w:tr>
      <w:tr w14:paraId="655D2C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restart"/>
            <w:vAlign w:val="center"/>
          </w:tcPr>
          <w:p w14:paraId="1C990973">
            <w:pPr>
              <w:pStyle w:val="123"/>
              <w:spacing w:line="240" w:lineRule="auto"/>
              <w:ind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649" w:type="dxa"/>
            <w:vAlign w:val="center"/>
          </w:tcPr>
          <w:p w14:paraId="1DC2FE29">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rPr>
              <w:t>给水工程</w:t>
            </w:r>
          </w:p>
        </w:tc>
        <w:tc>
          <w:tcPr>
            <w:tcW w:w="3256" w:type="dxa"/>
            <w:vAlign w:val="center"/>
          </w:tcPr>
          <w:p w14:paraId="0145D5C2">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由市政管网提供</w:t>
            </w:r>
          </w:p>
        </w:tc>
        <w:tc>
          <w:tcPr>
            <w:tcW w:w="3269" w:type="dxa"/>
            <w:vAlign w:val="center"/>
          </w:tcPr>
          <w:p w14:paraId="7CD07E8D">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由市政管网提供</w:t>
            </w:r>
          </w:p>
        </w:tc>
        <w:tc>
          <w:tcPr>
            <w:tcW w:w="1365" w:type="dxa"/>
            <w:vAlign w:val="center"/>
          </w:tcPr>
          <w:p w14:paraId="0FBEB948">
            <w:pPr>
              <w:spacing w:line="240" w:lineRule="auto"/>
              <w:jc w:val="center"/>
              <w:rPr>
                <w:rFonts w:hint="default" w:ascii="Times New Roman" w:hAnsi="Times New Roman" w:cs="Times New Roman" w:eastAsiaTheme="minorEastAsia"/>
                <w:kern w:val="2"/>
                <w:sz w:val="21"/>
                <w:szCs w:val="21"/>
                <w:lang w:val="en-US" w:eastAsia="zh-CN" w:bidi="ar-SA"/>
              </w:rPr>
            </w:pPr>
            <w:r>
              <w:rPr>
                <w:rFonts w:ascii="Times New Roman" w:hAnsi="Times New Roman" w:cs="Times New Roman"/>
                <w:szCs w:val="21"/>
              </w:rPr>
              <w:t>一致</w:t>
            </w:r>
          </w:p>
        </w:tc>
      </w:tr>
      <w:tr w14:paraId="2F0DEA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343D1B10">
            <w:pPr>
              <w:pStyle w:val="123"/>
              <w:spacing w:line="240" w:lineRule="auto"/>
              <w:ind w:firstLine="0"/>
              <w:jc w:val="center"/>
              <w:rPr>
                <w:rFonts w:hint="default" w:ascii="Times New Roman" w:hAnsi="Times New Roman" w:eastAsia="宋体" w:cs="Times New Roman"/>
                <w:sz w:val="21"/>
                <w:szCs w:val="21"/>
              </w:rPr>
            </w:pPr>
          </w:p>
        </w:tc>
        <w:tc>
          <w:tcPr>
            <w:tcW w:w="649" w:type="dxa"/>
            <w:vAlign w:val="center"/>
          </w:tcPr>
          <w:p w14:paraId="28D2BFD7">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排水</w:t>
            </w:r>
            <w:r>
              <w:rPr>
                <w:rFonts w:hint="default" w:ascii="Times New Roman" w:hAnsi="Times New Roman" w:eastAsia="宋体" w:cs="Times New Roman"/>
                <w:kern w:val="0"/>
                <w:sz w:val="21"/>
                <w:szCs w:val="21"/>
                <w:lang w:val="en-US" w:eastAsia="zh-CN"/>
              </w:rPr>
              <w:t>工程</w:t>
            </w:r>
          </w:p>
        </w:tc>
        <w:tc>
          <w:tcPr>
            <w:tcW w:w="3256" w:type="dxa"/>
            <w:vAlign w:val="center"/>
          </w:tcPr>
          <w:p w14:paraId="509CCB26">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采用雨、污分流系统。雨水经雨水管汇集后排入雨水管网；生活污水经化粪池处理达到纳管标准后排入磐安县尖山污水处理厂处理后排放</w:t>
            </w:r>
          </w:p>
        </w:tc>
        <w:tc>
          <w:tcPr>
            <w:tcW w:w="3269" w:type="dxa"/>
            <w:vAlign w:val="center"/>
          </w:tcPr>
          <w:p w14:paraId="579499DE">
            <w:pPr>
              <w:spacing w:line="240" w:lineRule="auto"/>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实行雨污分流，雨水经雨水管汇集后排入雨水管网；生活污水经化粪池处理达到纳管标准后排入磐安县尖山污水处理厂处理后排放</w:t>
            </w:r>
          </w:p>
        </w:tc>
        <w:tc>
          <w:tcPr>
            <w:tcW w:w="1365" w:type="dxa"/>
            <w:vAlign w:val="center"/>
          </w:tcPr>
          <w:p w14:paraId="0F584C01">
            <w:pPr>
              <w:spacing w:line="360" w:lineRule="auto"/>
              <w:jc w:val="center"/>
              <w:rPr>
                <w:rFonts w:hint="default" w:ascii="Times New Roman" w:hAnsi="Times New Roman" w:eastAsia="宋体" w:cs="Times New Roman"/>
                <w:snapToGrid w:val="0"/>
                <w:color w:val="auto"/>
                <w:spacing w:val="-10"/>
                <w:kern w:val="24"/>
                <w:sz w:val="21"/>
                <w:szCs w:val="21"/>
                <w:lang w:val="en-US" w:eastAsia="zh-CN"/>
              </w:rPr>
            </w:pPr>
            <w:r>
              <w:rPr>
                <w:rFonts w:hint="default" w:ascii="Times New Roman" w:hAnsi="Times New Roman" w:eastAsia="宋体" w:cs="Times New Roman"/>
                <w:snapToGrid w:val="0"/>
                <w:color w:val="auto"/>
                <w:spacing w:val="-10"/>
                <w:kern w:val="24"/>
                <w:sz w:val="21"/>
                <w:szCs w:val="21"/>
                <w:highlight w:val="none"/>
                <w:lang w:val="en-US" w:eastAsia="zh-CN"/>
              </w:rPr>
              <w:t>一致</w:t>
            </w:r>
          </w:p>
        </w:tc>
      </w:tr>
      <w:tr w14:paraId="2CE594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69C76794">
            <w:pPr>
              <w:pStyle w:val="123"/>
              <w:spacing w:line="240" w:lineRule="auto"/>
              <w:ind w:firstLine="0"/>
              <w:jc w:val="center"/>
              <w:rPr>
                <w:rFonts w:hint="default" w:ascii="Times New Roman" w:hAnsi="Times New Roman" w:eastAsia="宋体" w:cs="Times New Roman"/>
                <w:sz w:val="21"/>
                <w:szCs w:val="21"/>
              </w:rPr>
            </w:pPr>
          </w:p>
        </w:tc>
        <w:tc>
          <w:tcPr>
            <w:tcW w:w="649" w:type="dxa"/>
            <w:vAlign w:val="center"/>
          </w:tcPr>
          <w:p w14:paraId="6E3A7375">
            <w:pPr>
              <w:widowControl/>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rPr>
              <w:t>供电工程</w:t>
            </w:r>
          </w:p>
        </w:tc>
        <w:tc>
          <w:tcPr>
            <w:tcW w:w="3256" w:type="dxa"/>
            <w:vAlign w:val="center"/>
          </w:tcPr>
          <w:p w14:paraId="14D3C8D5">
            <w:pPr>
              <w:keepNext w:val="0"/>
              <w:keepLines w:val="0"/>
              <w:widowControl/>
              <w:suppressLineNumbers w:val="0"/>
              <w:spacing w:line="240" w:lineRule="auto"/>
              <w:jc w:val="left"/>
              <w:rPr>
                <w:rFonts w:hint="default" w:ascii="Times New Roman" w:hAnsi="Times New Roman" w:cs="Times New Roman" w:eastAsiaTheme="minorEastAsia"/>
                <w:kern w:val="2"/>
                <w:sz w:val="21"/>
                <w:szCs w:val="22"/>
                <w:highlight w:val="none"/>
                <w:lang w:val="en-US" w:eastAsia="zh-CN" w:bidi="ar-SA"/>
              </w:rPr>
            </w:pPr>
            <w:r>
              <w:rPr>
                <w:rFonts w:hint="default" w:ascii="Times New Roman" w:hAnsi="Times New Roman" w:cs="Times New Roman" w:eastAsiaTheme="minorEastAsia"/>
                <w:kern w:val="2"/>
                <w:sz w:val="21"/>
                <w:szCs w:val="22"/>
                <w:highlight w:val="none"/>
                <w:lang w:val="en-US" w:eastAsia="zh-CN" w:bidi="ar-SA"/>
              </w:rPr>
              <w:t>由磐安县市政供电局供应</w:t>
            </w:r>
          </w:p>
        </w:tc>
        <w:tc>
          <w:tcPr>
            <w:tcW w:w="3269" w:type="dxa"/>
            <w:vAlign w:val="center"/>
          </w:tcPr>
          <w:p w14:paraId="29590ADD">
            <w:pPr>
              <w:keepNext w:val="0"/>
              <w:keepLines w:val="0"/>
              <w:widowControl/>
              <w:suppressLineNumbers w:val="0"/>
              <w:spacing w:line="240" w:lineRule="auto"/>
              <w:jc w:val="left"/>
              <w:rPr>
                <w:rFonts w:hint="default" w:ascii="Times New Roman" w:hAnsi="Times New Roman" w:cs="Times New Roman" w:eastAsiaTheme="minorEastAsia"/>
                <w:kern w:val="2"/>
                <w:sz w:val="21"/>
                <w:szCs w:val="22"/>
                <w:highlight w:val="none"/>
                <w:lang w:val="en-US" w:eastAsia="zh-CN" w:bidi="ar-SA"/>
              </w:rPr>
            </w:pPr>
            <w:r>
              <w:rPr>
                <w:rFonts w:hint="default" w:ascii="Times New Roman" w:hAnsi="Times New Roman" w:cs="Times New Roman" w:eastAsiaTheme="minorEastAsia"/>
                <w:kern w:val="2"/>
                <w:sz w:val="21"/>
                <w:szCs w:val="22"/>
                <w:highlight w:val="none"/>
                <w:lang w:val="en-US" w:eastAsia="zh-CN" w:bidi="ar-SA"/>
              </w:rPr>
              <w:t>由磐安县市政供电局供应</w:t>
            </w:r>
          </w:p>
        </w:tc>
        <w:tc>
          <w:tcPr>
            <w:tcW w:w="1365" w:type="dxa"/>
            <w:vAlign w:val="center"/>
          </w:tcPr>
          <w:p w14:paraId="331E1467">
            <w:pPr>
              <w:widowControl/>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14:paraId="51CC3C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restart"/>
            <w:vAlign w:val="center"/>
          </w:tcPr>
          <w:p w14:paraId="5E3F68E3">
            <w:pPr>
              <w:widowControl/>
              <w:adjustRightInd w:val="0"/>
              <w:snapToGrid w:val="0"/>
              <w:ind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w:t>
            </w:r>
          </w:p>
          <w:p w14:paraId="3D289161">
            <w:pPr>
              <w:adjustRightInd w:val="0"/>
              <w:snapToGrid w:val="0"/>
              <w:ind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工程</w:t>
            </w:r>
          </w:p>
        </w:tc>
        <w:tc>
          <w:tcPr>
            <w:tcW w:w="649" w:type="dxa"/>
            <w:vAlign w:val="center"/>
          </w:tcPr>
          <w:p w14:paraId="77FFC2DF">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废水</w:t>
            </w:r>
            <w:r>
              <w:rPr>
                <w:rFonts w:hint="default" w:ascii="Times New Roman" w:hAnsi="Times New Roman" w:eastAsia="宋体" w:cs="Times New Roman"/>
                <w:sz w:val="21"/>
                <w:szCs w:val="21"/>
                <w:lang w:val="en-US" w:eastAsia="zh-CN"/>
              </w:rPr>
              <w:t>处理</w:t>
            </w:r>
          </w:p>
        </w:tc>
        <w:tc>
          <w:tcPr>
            <w:tcW w:w="3256" w:type="dxa"/>
            <w:vAlign w:val="center"/>
          </w:tcPr>
          <w:p w14:paraId="6058A309">
            <w:pPr>
              <w:widowControl/>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废气处理水喷淋废水定期清渣，循环使用，根据损耗补充，不外排；职工生活污水经化粪池处理达标后纳入磐安县尖山污水处理厂处理达标后排放</w:t>
            </w:r>
          </w:p>
        </w:tc>
        <w:tc>
          <w:tcPr>
            <w:tcW w:w="3269" w:type="dxa"/>
            <w:vAlign w:val="center"/>
          </w:tcPr>
          <w:p w14:paraId="2201E171">
            <w:pPr>
              <w:widowControl/>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废气处理水喷淋废水定期清渣，循环使用，根据损耗补充，不外排；职工生活污水经化粪池处理达标后纳入磐安县尖山污水处理厂处理达标后排放</w:t>
            </w:r>
          </w:p>
        </w:tc>
        <w:tc>
          <w:tcPr>
            <w:tcW w:w="1365" w:type="dxa"/>
            <w:vAlign w:val="center"/>
          </w:tcPr>
          <w:p w14:paraId="724705DC">
            <w:pPr>
              <w:widowControl/>
              <w:spacing w:line="240"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color w:val="000000"/>
                <w:kern w:val="0"/>
                <w:sz w:val="21"/>
                <w:szCs w:val="21"/>
                <w:highlight w:val="none"/>
                <w:lang w:val="en-US" w:eastAsia="zh-CN" w:bidi="ar"/>
              </w:rPr>
              <w:t>一致</w:t>
            </w:r>
          </w:p>
        </w:tc>
      </w:tr>
      <w:tr w14:paraId="5A1044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410" w:hRule="atLeast"/>
        </w:trPr>
        <w:tc>
          <w:tcPr>
            <w:tcW w:w="647" w:type="dxa"/>
            <w:vMerge w:val="continue"/>
            <w:vAlign w:val="center"/>
          </w:tcPr>
          <w:p w14:paraId="54464D90">
            <w:pPr>
              <w:widowControl/>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14:paraId="7141287D">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废气</w:t>
            </w:r>
            <w:r>
              <w:rPr>
                <w:rFonts w:hint="default" w:ascii="Times New Roman" w:hAnsi="Times New Roman" w:eastAsia="宋体" w:cs="Times New Roman"/>
                <w:sz w:val="21"/>
                <w:szCs w:val="21"/>
                <w:lang w:val="en-US" w:eastAsia="zh-CN"/>
              </w:rPr>
              <w:t>处理</w:t>
            </w:r>
          </w:p>
        </w:tc>
        <w:tc>
          <w:tcPr>
            <w:tcW w:w="3256" w:type="dxa"/>
            <w:vAlign w:val="center"/>
          </w:tcPr>
          <w:p w14:paraId="7D8E5981">
            <w:pPr>
              <w:pStyle w:val="115"/>
              <w:spacing w:before="2" w:line="240" w:lineRule="auto"/>
              <w:jc w:val="left"/>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项目滚胶、烘干及生物质燃烧废气经收集由同一套两级水喷淋+干湿分离+活性炭吸附处理装置处置后，不低于15m高排气筒排放（</w:t>
            </w:r>
            <w:r>
              <w:rPr>
                <w:rFonts w:hint="eastAsia" w:ascii="Times New Roman" w:hAnsi="Times New Roman" w:cs="Times New Roman"/>
                <w:kern w:val="0"/>
                <w:sz w:val="21"/>
                <w:szCs w:val="21"/>
                <w:lang w:val="en-US" w:eastAsia="zh-CN" w:bidi="ar-SA"/>
              </w:rPr>
              <w:t>D</w:t>
            </w:r>
            <w:r>
              <w:rPr>
                <w:rFonts w:hint="default" w:ascii="Times New Roman" w:hAnsi="Times New Roman" w:eastAsia="宋体" w:cs="Times New Roman"/>
                <w:kern w:val="0"/>
                <w:sz w:val="21"/>
                <w:szCs w:val="21"/>
                <w:lang w:val="en-US" w:eastAsia="zh-CN" w:bidi="ar-SA"/>
              </w:rPr>
              <w:t>A001）；织造纤尘车间无组织排放，加强设备维护，减少纤尘，并设置通风装置加强车间换气，改善车间环境质量</w:t>
            </w:r>
          </w:p>
        </w:tc>
        <w:tc>
          <w:tcPr>
            <w:tcW w:w="3269" w:type="dxa"/>
            <w:vAlign w:val="center"/>
          </w:tcPr>
          <w:p w14:paraId="70F1EDF7">
            <w:pPr>
              <w:pStyle w:val="115"/>
              <w:spacing w:before="2" w:line="240" w:lineRule="auto"/>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lang w:val="en-US" w:eastAsia="zh-CN" w:bidi="ar-SA"/>
              </w:rPr>
              <w:t>项目生物质</w:t>
            </w:r>
            <w:r>
              <w:rPr>
                <w:rFonts w:hint="eastAsia" w:ascii="Times New Roman" w:hAnsi="Times New Roman" w:cs="Times New Roman"/>
                <w:kern w:val="0"/>
                <w:sz w:val="21"/>
                <w:szCs w:val="21"/>
                <w:lang w:val="en-US" w:eastAsia="zh-CN" w:bidi="ar-SA"/>
              </w:rPr>
              <w:t>颗粒</w:t>
            </w:r>
            <w:r>
              <w:rPr>
                <w:rFonts w:hint="default" w:ascii="Times New Roman" w:hAnsi="Times New Roman" w:eastAsia="宋体" w:cs="Times New Roman"/>
                <w:kern w:val="0"/>
                <w:sz w:val="21"/>
                <w:szCs w:val="21"/>
                <w:lang w:val="en-US" w:eastAsia="zh-CN" w:bidi="ar-SA"/>
              </w:rPr>
              <w:t>燃烧废气收集</w:t>
            </w:r>
            <w:r>
              <w:rPr>
                <w:rFonts w:hint="eastAsia" w:ascii="Times New Roman" w:hAnsi="Times New Roman" w:cs="Times New Roman"/>
                <w:kern w:val="0"/>
                <w:sz w:val="21"/>
                <w:szCs w:val="21"/>
                <w:lang w:val="en-US" w:eastAsia="zh-CN" w:bidi="ar-SA"/>
              </w:rPr>
              <w:t>后先经过水喷淋处理后，再与</w:t>
            </w:r>
            <w:r>
              <w:rPr>
                <w:rFonts w:hint="default" w:ascii="Times New Roman" w:hAnsi="Times New Roman" w:eastAsia="宋体" w:cs="Times New Roman"/>
                <w:kern w:val="0"/>
                <w:sz w:val="21"/>
                <w:szCs w:val="21"/>
                <w:lang w:val="en-US" w:eastAsia="zh-CN" w:bidi="ar-SA"/>
              </w:rPr>
              <w:t>滚胶、烘干</w:t>
            </w:r>
            <w:r>
              <w:rPr>
                <w:rFonts w:hint="eastAsia" w:ascii="Times New Roman" w:hAnsi="Times New Roman" w:cs="Times New Roman"/>
                <w:kern w:val="0"/>
                <w:sz w:val="21"/>
                <w:szCs w:val="21"/>
                <w:lang w:val="en-US" w:eastAsia="zh-CN" w:bidi="ar-SA"/>
              </w:rPr>
              <w:t>废气经</w:t>
            </w:r>
            <w:r>
              <w:rPr>
                <w:rFonts w:hint="default" w:ascii="Times New Roman" w:hAnsi="Times New Roman" w:eastAsia="宋体" w:cs="Times New Roman"/>
                <w:kern w:val="0"/>
                <w:sz w:val="21"/>
                <w:szCs w:val="21"/>
                <w:lang w:val="en-US" w:eastAsia="zh-CN" w:bidi="ar-SA"/>
              </w:rPr>
              <w:t>由同一套</w:t>
            </w:r>
            <w:r>
              <w:rPr>
                <w:rFonts w:hint="eastAsia" w:ascii="Times New Roman" w:hAnsi="Times New Roman" w:cs="Times New Roman"/>
                <w:kern w:val="0"/>
                <w:sz w:val="21"/>
                <w:szCs w:val="21"/>
                <w:lang w:val="en-US" w:eastAsia="zh-CN" w:bidi="ar-SA"/>
              </w:rPr>
              <w:t>“</w:t>
            </w:r>
            <w:r>
              <w:rPr>
                <w:rFonts w:hint="default" w:ascii="Times New Roman" w:hAnsi="Times New Roman" w:eastAsia="宋体" w:cs="Times New Roman"/>
                <w:kern w:val="0"/>
                <w:sz w:val="21"/>
                <w:szCs w:val="21"/>
                <w:lang w:val="en-US" w:eastAsia="zh-CN" w:bidi="ar-SA"/>
              </w:rPr>
              <w:t>两级水喷淋+</w:t>
            </w:r>
            <w:r>
              <w:rPr>
                <w:rFonts w:hint="eastAsia" w:ascii="Times New Roman" w:hAnsi="Times New Roman" w:cs="Times New Roman"/>
                <w:kern w:val="0"/>
                <w:sz w:val="21"/>
                <w:szCs w:val="21"/>
                <w:lang w:val="en-US" w:eastAsia="zh-CN" w:bidi="ar-SA"/>
              </w:rPr>
              <w:t>除油+</w:t>
            </w:r>
            <w:r>
              <w:rPr>
                <w:rFonts w:hint="default" w:ascii="Times New Roman" w:hAnsi="Times New Roman" w:eastAsia="宋体" w:cs="Times New Roman"/>
                <w:kern w:val="0"/>
                <w:sz w:val="21"/>
                <w:szCs w:val="21"/>
                <w:lang w:val="en-US" w:eastAsia="zh-CN" w:bidi="ar-SA"/>
              </w:rPr>
              <w:t>干湿分离+活性炭吸附</w:t>
            </w:r>
            <w:r>
              <w:rPr>
                <w:rFonts w:hint="eastAsia" w:ascii="Times New Roman" w:hAnsi="Times New Roman" w:cs="Times New Roman"/>
                <w:kern w:val="0"/>
                <w:sz w:val="21"/>
                <w:szCs w:val="21"/>
                <w:lang w:val="en-US" w:eastAsia="zh-CN" w:bidi="ar-SA"/>
              </w:rPr>
              <w:t>”</w:t>
            </w:r>
            <w:r>
              <w:rPr>
                <w:rFonts w:hint="default" w:ascii="Times New Roman" w:hAnsi="Times New Roman" w:eastAsia="宋体" w:cs="Times New Roman"/>
                <w:kern w:val="0"/>
                <w:sz w:val="21"/>
                <w:szCs w:val="21"/>
                <w:lang w:val="en-US" w:eastAsia="zh-CN" w:bidi="ar-SA"/>
              </w:rPr>
              <w:t>处理装置处置后</w:t>
            </w:r>
            <w:r>
              <w:rPr>
                <w:rFonts w:hint="eastAsia" w:ascii="Times New Roman" w:hAnsi="Times New Roman" w:cs="Times New Roman"/>
                <w:kern w:val="0"/>
                <w:sz w:val="21"/>
                <w:szCs w:val="21"/>
                <w:lang w:val="en-US" w:eastAsia="zh-CN" w:bidi="ar-SA"/>
              </w:rPr>
              <w:t>由</w:t>
            </w:r>
            <w:r>
              <w:rPr>
                <w:rFonts w:hint="default" w:ascii="Times New Roman" w:hAnsi="Times New Roman" w:eastAsia="宋体" w:cs="Times New Roman"/>
                <w:kern w:val="0"/>
                <w:sz w:val="21"/>
                <w:szCs w:val="21"/>
                <w:lang w:val="en-US" w:eastAsia="zh-CN" w:bidi="ar-SA"/>
              </w:rPr>
              <w:t>15m高排气筒排放（</w:t>
            </w:r>
            <w:r>
              <w:rPr>
                <w:rFonts w:hint="eastAsia" w:ascii="Times New Roman" w:hAnsi="Times New Roman" w:cs="Times New Roman"/>
                <w:kern w:val="0"/>
                <w:sz w:val="21"/>
                <w:szCs w:val="21"/>
                <w:lang w:val="en-US" w:eastAsia="zh-CN" w:bidi="ar-SA"/>
              </w:rPr>
              <w:t>D</w:t>
            </w:r>
            <w:r>
              <w:rPr>
                <w:rFonts w:hint="default" w:ascii="Times New Roman" w:hAnsi="Times New Roman" w:eastAsia="宋体" w:cs="Times New Roman"/>
                <w:kern w:val="0"/>
                <w:sz w:val="21"/>
                <w:szCs w:val="21"/>
                <w:lang w:val="en-US" w:eastAsia="zh-CN" w:bidi="ar-SA"/>
              </w:rPr>
              <w:t>A001）；织造纤尘车间无组织排放</w:t>
            </w:r>
          </w:p>
        </w:tc>
        <w:tc>
          <w:tcPr>
            <w:tcW w:w="1365" w:type="dxa"/>
            <w:vAlign w:val="center"/>
          </w:tcPr>
          <w:p w14:paraId="2DFCCB4C">
            <w:pPr>
              <w:spacing w:line="240" w:lineRule="auto"/>
              <w:jc w:val="center"/>
              <w:rPr>
                <w:rFonts w:hint="default" w:ascii="Times New Roman" w:hAnsi="Times New Roman" w:eastAsia="宋体" w:cs="Times New Roman"/>
                <w:b/>
                <w:bCs/>
                <w:snapToGrid w:val="0"/>
                <w:color w:val="auto"/>
                <w:spacing w:val="-10"/>
                <w:kern w:val="24"/>
                <w:sz w:val="21"/>
                <w:szCs w:val="21"/>
                <w:highlight w:val="none"/>
                <w:lang w:val="en-US" w:eastAsia="zh-CN"/>
              </w:rPr>
            </w:pPr>
            <w:r>
              <w:rPr>
                <w:rFonts w:hint="default" w:ascii="Times New Roman" w:hAnsi="Times New Roman" w:eastAsia="宋体" w:cs="Times New Roman"/>
                <w:kern w:val="0"/>
                <w:sz w:val="21"/>
                <w:szCs w:val="21"/>
                <w:lang w:val="en-US" w:eastAsia="zh-CN"/>
              </w:rPr>
              <w:t>一致</w:t>
            </w:r>
          </w:p>
        </w:tc>
      </w:tr>
      <w:tr w14:paraId="0C833D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647" w:type="dxa"/>
            <w:vMerge w:val="continue"/>
            <w:vAlign w:val="center"/>
          </w:tcPr>
          <w:p w14:paraId="3EB79815">
            <w:pPr>
              <w:widowControl/>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14:paraId="4AC6FD5B">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rPr>
              <w:t>噪声</w:t>
            </w:r>
            <w:r>
              <w:rPr>
                <w:rFonts w:hint="default" w:ascii="Times New Roman" w:hAnsi="Times New Roman" w:eastAsia="宋体" w:cs="Times New Roman"/>
                <w:kern w:val="0"/>
                <w:sz w:val="21"/>
                <w:szCs w:val="21"/>
                <w:lang w:val="en-US" w:eastAsia="zh-CN"/>
              </w:rPr>
              <w:t>治理</w:t>
            </w:r>
          </w:p>
        </w:tc>
        <w:tc>
          <w:tcPr>
            <w:tcW w:w="3256" w:type="dxa"/>
            <w:vAlign w:val="center"/>
          </w:tcPr>
          <w:p w14:paraId="7436D772">
            <w:pPr>
              <w:keepNext w:val="0"/>
              <w:keepLines w:val="0"/>
              <w:widowControl/>
              <w:suppressLineNumbers w:val="0"/>
              <w:jc w:val="left"/>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降噪处理设施</w:t>
            </w:r>
          </w:p>
        </w:tc>
        <w:tc>
          <w:tcPr>
            <w:tcW w:w="3269" w:type="dxa"/>
            <w:vAlign w:val="center"/>
          </w:tcPr>
          <w:p w14:paraId="7FED58AF">
            <w:pPr>
              <w:rPr>
                <w:rFonts w:hint="default" w:ascii="Times New Roman" w:hAnsi="Times New Roman" w:eastAsia="宋体" w:cs="Times New Roman"/>
                <w:sz w:val="21"/>
                <w:szCs w:val="21"/>
                <w:lang w:val="en-US" w:eastAsia="zh-CN"/>
              </w:rPr>
            </w:pPr>
            <w:r>
              <w:rPr>
                <w:rFonts w:hint="default" w:ascii="Times New Roman" w:hAnsi="Times New Roman" w:eastAsia="宋体" w:cs="Times New Roman"/>
                <w:bCs/>
                <w:sz w:val="21"/>
                <w:szCs w:val="21"/>
                <w:lang w:val="en-US" w:bidi="zh-CN"/>
              </w:rPr>
              <w:t>车间内对高噪声设备采取防震、降噪措施；合理安排作业时间，</w:t>
            </w:r>
            <w:r>
              <w:rPr>
                <w:rFonts w:hint="default" w:ascii="Times New Roman" w:hAnsi="Times New Roman" w:eastAsia="宋体" w:cs="Times New Roman"/>
                <w:bCs/>
                <w:sz w:val="21"/>
                <w:szCs w:val="21"/>
                <w:lang w:val="en-US" w:eastAsia="zh-CN" w:bidi="zh-CN"/>
              </w:rPr>
              <w:t>选用低噪声设备</w:t>
            </w:r>
            <w:r>
              <w:rPr>
                <w:rFonts w:hint="default" w:ascii="Times New Roman" w:hAnsi="Times New Roman" w:eastAsia="宋体" w:cs="Times New Roman"/>
                <w:bCs/>
                <w:sz w:val="21"/>
                <w:szCs w:val="21"/>
                <w:lang w:val="en-US" w:bidi="zh-CN"/>
              </w:rPr>
              <w:t>；平时加强设备的维护，确保设备处于良好的运转状态，杜绝因设备不正常运转时产生的高噪声现象。</w:t>
            </w:r>
          </w:p>
        </w:tc>
        <w:tc>
          <w:tcPr>
            <w:tcW w:w="1365" w:type="dxa"/>
            <w:vAlign w:val="center"/>
          </w:tcPr>
          <w:p w14:paraId="0CD33379">
            <w:pPr>
              <w:spacing w:line="240" w:lineRule="auto"/>
              <w:jc w:val="center"/>
              <w:rPr>
                <w:rFonts w:hint="default" w:ascii="Times New Roman" w:hAnsi="Times New Roman" w:eastAsia="宋体" w:cs="Times New Roman"/>
                <w:snapToGrid w:val="0"/>
                <w:color w:val="auto"/>
                <w:spacing w:val="-10"/>
                <w:kern w:val="24"/>
                <w:sz w:val="21"/>
                <w:szCs w:val="21"/>
                <w:lang w:val="en-US" w:eastAsia="zh-CN"/>
              </w:rPr>
            </w:pPr>
            <w:r>
              <w:rPr>
                <w:rFonts w:hint="default" w:ascii="Times New Roman" w:hAnsi="Times New Roman" w:eastAsia="宋体" w:cs="Times New Roman"/>
                <w:snapToGrid w:val="0"/>
                <w:color w:val="auto"/>
                <w:spacing w:val="-10"/>
                <w:kern w:val="24"/>
                <w:sz w:val="21"/>
                <w:szCs w:val="21"/>
                <w:lang w:val="en-US" w:eastAsia="zh-CN"/>
              </w:rPr>
              <w:t>一致</w:t>
            </w:r>
          </w:p>
        </w:tc>
      </w:tr>
      <w:tr w14:paraId="5535CC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5AA8188C">
            <w:pPr>
              <w:widowControl/>
              <w:adjustRightInd w:val="0"/>
              <w:snapToGrid w:val="0"/>
              <w:ind w:right="-21" w:rightChars="-10"/>
              <w:jc w:val="center"/>
              <w:rPr>
                <w:rFonts w:hint="default" w:ascii="Times New Roman" w:hAnsi="Times New Roman" w:eastAsia="宋体" w:cs="Times New Roman"/>
                <w:kern w:val="0"/>
                <w:sz w:val="21"/>
                <w:szCs w:val="21"/>
              </w:rPr>
            </w:pPr>
          </w:p>
        </w:tc>
        <w:tc>
          <w:tcPr>
            <w:tcW w:w="649" w:type="dxa"/>
            <w:vAlign w:val="center"/>
          </w:tcPr>
          <w:p w14:paraId="2213AB71">
            <w:pPr>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固废处理</w:t>
            </w:r>
          </w:p>
        </w:tc>
        <w:tc>
          <w:tcPr>
            <w:tcW w:w="3256" w:type="dxa"/>
            <w:vAlign w:val="center"/>
          </w:tcPr>
          <w:p w14:paraId="4ED3F056">
            <w:pPr>
              <w:rPr>
                <w:rFonts w:hint="default" w:ascii="Times New Roman" w:hAnsi="Times New Roman" w:eastAsia="宋体" w:cs="Times New Roman"/>
                <w:bCs/>
                <w:sz w:val="21"/>
                <w:szCs w:val="21"/>
                <w:lang w:val="en-US" w:eastAsia="zh-CN" w:bidi="zh-CN"/>
              </w:rPr>
            </w:pPr>
            <w:r>
              <w:rPr>
                <w:rFonts w:hint="default" w:ascii="Times New Roman" w:hAnsi="Times New Roman" w:eastAsia="宋体" w:cs="Times New Roman"/>
                <w:bCs/>
                <w:sz w:val="21"/>
                <w:szCs w:val="21"/>
                <w:lang w:val="en-US" w:eastAsia="zh-CN" w:bidi="zh-CN"/>
              </w:rPr>
              <w:t>危险废物（废机油桶、废活性炭）暂存于1#厂房一楼危废暂存库（10m</w:t>
            </w:r>
            <w:r>
              <w:rPr>
                <w:rFonts w:hint="default" w:ascii="Times New Roman" w:hAnsi="Times New Roman" w:eastAsia="宋体" w:cs="Times New Roman"/>
                <w:bCs/>
                <w:sz w:val="21"/>
                <w:szCs w:val="21"/>
                <w:vertAlign w:val="superscript"/>
                <w:lang w:val="en-US" w:eastAsia="zh-CN" w:bidi="zh-CN"/>
              </w:rPr>
              <w:t>2</w:t>
            </w:r>
            <w:r>
              <w:rPr>
                <w:rFonts w:hint="default" w:ascii="Times New Roman" w:hAnsi="Times New Roman" w:eastAsia="宋体" w:cs="Times New Roman"/>
                <w:bCs/>
                <w:sz w:val="21"/>
                <w:szCs w:val="21"/>
                <w:lang w:val="en-US" w:eastAsia="zh-CN" w:bidi="zh-CN"/>
              </w:rPr>
              <w:t>），分类收集后委托有资质单位处理处置；一般固废（边角料和废纱、一般废包装材料、灰渣、泥渣）暂存于1#厂房一楼一般固废仓库内（50m</w:t>
            </w:r>
            <w:r>
              <w:rPr>
                <w:rFonts w:hint="default" w:ascii="Times New Roman" w:hAnsi="Times New Roman" w:eastAsia="宋体" w:cs="Times New Roman"/>
                <w:bCs/>
                <w:sz w:val="21"/>
                <w:szCs w:val="21"/>
                <w:vertAlign w:val="superscript"/>
                <w:lang w:val="en-US" w:eastAsia="zh-CN" w:bidi="zh-CN"/>
              </w:rPr>
              <w:t>2</w:t>
            </w:r>
            <w:r>
              <w:rPr>
                <w:rFonts w:hint="default" w:ascii="Times New Roman" w:hAnsi="Times New Roman" w:eastAsia="宋体" w:cs="Times New Roman"/>
                <w:bCs/>
                <w:sz w:val="21"/>
                <w:szCs w:val="21"/>
                <w:lang w:val="en-US" w:eastAsia="zh-CN" w:bidi="zh-CN"/>
              </w:rPr>
              <w:t>），收集后外运综合利用，职工生活垃圾由环卫部门统一清运。</w:t>
            </w:r>
          </w:p>
        </w:tc>
        <w:tc>
          <w:tcPr>
            <w:tcW w:w="3269" w:type="dxa"/>
            <w:vAlign w:val="center"/>
          </w:tcPr>
          <w:p w14:paraId="27BAE4F9">
            <w:pPr>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危险固废：设置危险固废暂存间，位于2#厂房东侧阁楼，占地10m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，分类收集后委托磐安海呈环境服务有限公司进行处置；</w:t>
            </w:r>
          </w:p>
          <w:p w14:paraId="35C55798">
            <w:pP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一般固废：设置一般固废仓库，一般固废定期外售给物资单位</w:t>
            </w:r>
            <w:r>
              <w:rPr>
                <w:rFonts w:hint="eastAsia" w:ascii="Times New Roman" w:hAnsi="Times New Roman" w:eastAsia="宋体" w:cs="Times New Roman"/>
                <w:bCs/>
                <w:sz w:val="21"/>
                <w:szCs w:val="21"/>
                <w:highlight w:val="none"/>
                <w:lang w:val="en-US" w:eastAsia="zh-CN" w:bidi="zh-CN"/>
              </w:rPr>
              <w:t>；</w:t>
            </w:r>
          </w:p>
          <w:p w14:paraId="7C46BC3C">
            <w:pP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highlight w:val="none"/>
                <w:lang w:val="en-US" w:eastAsia="zh-CN" w:bidi="zh-CN"/>
              </w:rPr>
              <w:t>生活垃圾：委托环卫部门处置。</w:t>
            </w:r>
          </w:p>
        </w:tc>
        <w:tc>
          <w:tcPr>
            <w:tcW w:w="1365" w:type="dxa"/>
            <w:vAlign w:val="center"/>
          </w:tcPr>
          <w:p w14:paraId="3FED2B62">
            <w:pPr>
              <w:spacing w:line="240" w:lineRule="auto"/>
              <w:jc w:val="center"/>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基本</w:t>
            </w:r>
            <w:r>
              <w:rPr>
                <w:rFonts w:hint="default" w:ascii="Times New Roman" w:hAnsi="Times New Roman" w:eastAsia="宋体" w:cs="Times New Roman"/>
                <w:bCs/>
                <w:sz w:val="21"/>
                <w:szCs w:val="21"/>
                <w:highlight w:val="none"/>
                <w:lang w:val="en-US" w:eastAsia="zh-CN" w:bidi="zh-CN"/>
              </w:rPr>
              <w:t>一致</w:t>
            </w:r>
          </w:p>
          <w:p w14:paraId="12D78997">
            <w:pPr>
              <w:spacing w:line="240" w:lineRule="auto"/>
              <w:jc w:val="center"/>
              <w:rPr>
                <w:rFonts w:hint="default" w:ascii="Times New Roman" w:hAnsi="Times New Roman" w:eastAsia="宋体" w:cs="Times New Roman"/>
                <w:snapToGrid w:val="0"/>
                <w:color w:val="auto"/>
                <w:spacing w:val="-10"/>
                <w:kern w:val="24"/>
                <w:sz w:val="21"/>
                <w:szCs w:val="21"/>
                <w:lang w:val="en-US" w:eastAsia="zh-CN"/>
              </w:rPr>
            </w:pPr>
            <w:r>
              <w:rPr>
                <w:rFonts w:hint="eastAsia" w:ascii="Times New Roman" w:hAnsi="Times New Roman" w:eastAsia="宋体" w:cs="Times New Roman"/>
                <w:b/>
                <w:bCs w:val="0"/>
                <w:sz w:val="21"/>
                <w:szCs w:val="21"/>
                <w:highlight w:val="none"/>
                <w:lang w:val="en-US" w:eastAsia="zh-CN" w:bidi="zh-CN"/>
              </w:rPr>
              <w:t>危废仓库位置变化</w:t>
            </w:r>
            <w:r>
              <w:rPr>
                <w:rFonts w:hint="eastAsia" w:ascii="Times New Roman" w:hAnsi="Times New Roman" w:eastAsia="宋体" w:cs="Times New Roman"/>
                <w:b/>
                <w:bCs/>
                <w:snapToGrid w:val="0"/>
                <w:color w:val="auto"/>
                <w:spacing w:val="-10"/>
                <w:kern w:val="24"/>
                <w:sz w:val="21"/>
                <w:szCs w:val="21"/>
                <w:highlight w:val="none"/>
                <w:lang w:val="en-US" w:eastAsia="zh-CN"/>
              </w:rPr>
              <w:t>不会导致环境防护距离变动</w:t>
            </w:r>
          </w:p>
        </w:tc>
      </w:tr>
      <w:bookmarkEnd w:id="29"/>
    </w:tbl>
    <w:p w14:paraId="267A8C0D">
      <w:pPr>
        <w:snapToGrid w:val="0"/>
        <w:spacing w:line="240" w:lineRule="auto"/>
        <w:ind w:firstLine="200" w:firstLineChars="200"/>
        <w:rPr>
          <w:rFonts w:hint="default" w:ascii="Times New Roman" w:hAnsi="Times New Roman" w:cs="Times New Roman"/>
          <w:sz w:val="10"/>
          <w:szCs w:val="10"/>
          <w:highlight w:val="none"/>
          <w:lang w:val="en-US" w:eastAsia="zh-CN"/>
        </w:rPr>
      </w:pPr>
    </w:p>
    <w:p w14:paraId="3CDC024D">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根据现场核查，现有实际产能为</w:t>
      </w:r>
      <w:r>
        <w:rPr>
          <w:rFonts w:hint="eastAsia" w:ascii="Times New Roman" w:hAnsi="Times New Roman" w:cs="Times New Roman"/>
          <w:sz w:val="24"/>
          <w:szCs w:val="24"/>
          <w:highlight w:val="none"/>
          <w:lang w:val="en-US" w:eastAsia="zh-CN"/>
        </w:rPr>
        <w:t>年产2000万平方米耐碱玻纤网格布</w:t>
      </w:r>
      <w:r>
        <w:rPr>
          <w:rFonts w:hint="default"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lang w:val="en-US" w:eastAsia="zh-CN"/>
        </w:rPr>
        <w:t>厂区平面布置调整</w:t>
      </w:r>
      <w:r>
        <w:rPr>
          <w:rFonts w:hint="default" w:ascii="Times New Roman" w:hAnsi="Times New Roman" w:cs="Times New Roman"/>
          <w:sz w:val="24"/>
          <w:szCs w:val="24"/>
          <w:highlight w:val="none"/>
          <w:lang w:val="en-US" w:eastAsia="zh-CN"/>
        </w:rPr>
        <w:t>未导致环境防护距离范围变化且未新增敏感点，除以上变化外，其他建设内容与环评要求基本一致。</w:t>
      </w:r>
    </w:p>
    <w:p w14:paraId="16F2B47A">
      <w:pPr>
        <w:spacing w:line="360" w:lineRule="auto"/>
        <w:textAlignment w:val="baseline"/>
        <w:rPr>
          <w:rFonts w:ascii="Times New Roman" w:hAnsi="Times New Roman" w:eastAsia="宋体" w:cs="Times New Roman"/>
          <w:b/>
          <w:bCs/>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14:paraId="359287F2">
      <w:pPr>
        <w:pStyle w:val="48"/>
        <w:spacing w:beforeLines="0" w:afterLines="0"/>
        <w:ind w:firstLine="0" w:firstLineChars="0"/>
        <w:jc w:val="center"/>
        <w:rPr>
          <w:rFonts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 xml:space="preserve"> 项目产品方案一览表</w:t>
      </w:r>
    </w:p>
    <w:tbl>
      <w:tblPr>
        <w:tblStyle w:val="33"/>
        <w:tblW w:w="485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42"/>
        <w:gridCol w:w="2047"/>
        <w:gridCol w:w="2335"/>
        <w:gridCol w:w="2168"/>
        <w:gridCol w:w="1841"/>
      </w:tblGrid>
      <w:tr w14:paraId="300C13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tcBorders>
              <w:tl2br w:val="nil"/>
              <w:tr2bl w:val="nil"/>
            </w:tcBorders>
            <w:vAlign w:val="center"/>
          </w:tcPr>
          <w:p w14:paraId="39CD89B1">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序号</w:t>
            </w:r>
          </w:p>
        </w:tc>
        <w:tc>
          <w:tcPr>
            <w:tcW w:w="2047" w:type="dxa"/>
            <w:tcBorders>
              <w:tl2br w:val="nil"/>
              <w:tr2bl w:val="nil"/>
            </w:tcBorders>
            <w:vAlign w:val="center"/>
          </w:tcPr>
          <w:p w14:paraId="56AE741C">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产品种类</w:t>
            </w:r>
          </w:p>
        </w:tc>
        <w:tc>
          <w:tcPr>
            <w:tcW w:w="2335" w:type="dxa"/>
            <w:tcBorders>
              <w:tl2br w:val="nil"/>
              <w:tr2bl w:val="nil"/>
            </w:tcBorders>
            <w:vAlign w:val="center"/>
          </w:tcPr>
          <w:p w14:paraId="01EBBE98">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环评及批复年产量</w:t>
            </w:r>
          </w:p>
        </w:tc>
        <w:tc>
          <w:tcPr>
            <w:tcW w:w="2168" w:type="dxa"/>
            <w:tcBorders>
              <w:tl2br w:val="nil"/>
              <w:tr2bl w:val="nil"/>
            </w:tcBorders>
            <w:vAlign w:val="center"/>
          </w:tcPr>
          <w:p w14:paraId="02292D0C">
            <w:pPr>
              <w:adjustRightInd w:val="0"/>
              <w:snapToGrid w:val="0"/>
              <w:spacing w:line="259" w:lineRule="auto"/>
              <w:ind w:right="46"/>
              <w:jc w:val="center"/>
              <w:rPr>
                <w:rFonts w:ascii="宋体" w:hAnsi="宋体" w:eastAsia="宋体" w:cs="Times New Roman"/>
                <w:b/>
                <w:bCs/>
                <w:szCs w:val="21"/>
              </w:rPr>
            </w:pPr>
            <w:r>
              <w:rPr>
                <w:rFonts w:hint="eastAsia" w:ascii="宋体" w:hAnsi="宋体" w:eastAsia="宋体" w:cs="Times New Roman"/>
                <w:b/>
                <w:bCs/>
                <w:szCs w:val="21"/>
              </w:rPr>
              <w:t>实际年产量</w:t>
            </w:r>
          </w:p>
        </w:tc>
        <w:tc>
          <w:tcPr>
            <w:tcW w:w="1841" w:type="dxa"/>
            <w:tcBorders>
              <w:tl2br w:val="nil"/>
              <w:tr2bl w:val="nil"/>
            </w:tcBorders>
            <w:vAlign w:val="center"/>
          </w:tcPr>
          <w:p w14:paraId="42548283">
            <w:pPr>
              <w:adjustRightInd w:val="0"/>
              <w:snapToGrid w:val="0"/>
              <w:spacing w:line="259" w:lineRule="auto"/>
              <w:ind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14:paraId="4DBD67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42" w:type="dxa"/>
            <w:tcBorders>
              <w:tl2br w:val="nil"/>
              <w:tr2bl w:val="nil"/>
            </w:tcBorders>
            <w:vAlign w:val="center"/>
          </w:tcPr>
          <w:p w14:paraId="7E5574F7">
            <w:pPr>
              <w:pStyle w:val="111"/>
              <w:numPr>
                <w:ilvl w:val="0"/>
                <w:numId w:val="0"/>
              </w:numPr>
              <w:ind w:left="210" w:leftChars="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2047" w:type="dxa"/>
            <w:tcBorders>
              <w:tl2br w:val="nil"/>
              <w:tr2bl w:val="nil"/>
            </w:tcBorders>
            <w:vAlign w:val="center"/>
          </w:tcPr>
          <w:p w14:paraId="4AFE57B8">
            <w:pPr>
              <w:spacing w:line="300" w:lineRule="auto"/>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color w:val="auto"/>
                <w:lang w:val="en-US" w:eastAsia="zh-CN"/>
              </w:rPr>
              <w:t>耐碱玻纤网格布</w:t>
            </w:r>
          </w:p>
        </w:tc>
        <w:tc>
          <w:tcPr>
            <w:tcW w:w="2335" w:type="dxa"/>
            <w:tcBorders>
              <w:tl2br w:val="nil"/>
              <w:tr2bl w:val="nil"/>
            </w:tcBorders>
            <w:vAlign w:val="center"/>
          </w:tcPr>
          <w:p w14:paraId="5A4F3068">
            <w:pPr>
              <w:ind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color w:val="auto"/>
                <w:lang w:val="en-US" w:eastAsia="zh-CN"/>
              </w:rPr>
              <w:t>10000万平方米/年</w:t>
            </w:r>
          </w:p>
        </w:tc>
        <w:tc>
          <w:tcPr>
            <w:tcW w:w="2168" w:type="dxa"/>
            <w:tcBorders>
              <w:tl2br w:val="nil"/>
              <w:tr2bl w:val="nil"/>
            </w:tcBorders>
            <w:vAlign w:val="center"/>
          </w:tcPr>
          <w:p w14:paraId="34AE053D">
            <w:pPr>
              <w:ind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color w:val="auto"/>
                <w:lang w:val="en-US" w:eastAsia="zh-CN"/>
              </w:rPr>
              <w:t>2000万平方米/年</w:t>
            </w:r>
          </w:p>
        </w:tc>
        <w:tc>
          <w:tcPr>
            <w:tcW w:w="1841" w:type="dxa"/>
            <w:tcBorders>
              <w:tl2br w:val="nil"/>
              <w:tr2bl w:val="nil"/>
            </w:tcBorders>
            <w:vAlign w:val="center"/>
          </w:tcPr>
          <w:p w14:paraId="035F1C33">
            <w:pPr>
              <w:ind w:right="51"/>
              <w:jc w:val="center"/>
              <w:rPr>
                <w:rFonts w:hint="default" w:ascii="宋体" w:hAnsi="宋体" w:eastAsia="宋体" w:cs="宋体"/>
                <w:color w:val="000000" w:themeColor="text1"/>
                <w:szCs w:val="21"/>
                <w:lang w:val="en-US" w:eastAsia="zh-CN"/>
                <w14:textFill>
                  <w14:solidFill>
                    <w14:schemeClr w14:val="tx1"/>
                  </w14:solidFill>
                </w14:textFill>
              </w:rPr>
            </w:pPr>
            <w:r>
              <w:rPr>
                <w:rFonts w:hint="eastAsia" w:ascii="宋体" w:hAnsi="宋体" w:eastAsia="宋体" w:cs="宋体"/>
                <w:color w:val="000000" w:themeColor="text1"/>
                <w:szCs w:val="21"/>
                <w:lang w:val="en-US" w:eastAsia="zh-CN"/>
                <w14:textFill>
                  <w14:solidFill>
                    <w14:schemeClr w14:val="tx1"/>
                  </w14:solidFill>
                </w14:textFill>
              </w:rPr>
              <w:t>—</w:t>
            </w:r>
          </w:p>
        </w:tc>
      </w:tr>
    </w:tbl>
    <w:p w14:paraId="459C1BCC">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根据现场核查，企业实际产能为年产2000万平方米耐碱玻纤网格布，其余设施均已落实，满足本次先行验收产能要求，符合本次验收条件要求。</w:t>
      </w:r>
    </w:p>
    <w:p w14:paraId="122D7095">
      <w:pPr>
        <w:pStyle w:val="5"/>
        <w:rPr>
          <w:rFonts w:eastAsia="宋体"/>
        </w:rPr>
      </w:pPr>
      <w:bookmarkStart w:id="30" w:name="_Toc8670"/>
      <w:r>
        <w:rPr>
          <w:rFonts w:eastAsia="宋体"/>
        </w:rPr>
        <w:t>3.3主要原辅材料及燃料</w:t>
      </w:r>
      <w:bookmarkEnd w:id="30"/>
    </w:p>
    <w:p w14:paraId="5F624BBF">
      <w:pPr>
        <w:pStyle w:val="48"/>
        <w:spacing w:beforeLines="0" w:afterLines="0"/>
        <w:ind w:firstLine="0" w:firstLineChars="0"/>
        <w:jc w:val="center"/>
        <w:rPr>
          <w:rFonts w:ascii="Times New Roman" w:hAnsi="Times New Roman" w:cs="Times New Roman"/>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3"/>
        <w:tblW w:w="92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583"/>
        <w:gridCol w:w="861"/>
        <w:gridCol w:w="1604"/>
        <w:gridCol w:w="1603"/>
        <w:gridCol w:w="1320"/>
        <w:gridCol w:w="1632"/>
      </w:tblGrid>
      <w:tr w14:paraId="23CAE9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tblHeader/>
          <w:jc w:val="center"/>
        </w:trPr>
        <w:tc>
          <w:tcPr>
            <w:tcW w:w="640" w:type="dxa"/>
            <w:tcBorders>
              <w:tl2br w:val="nil"/>
              <w:tr2bl w:val="nil"/>
            </w:tcBorders>
            <w:vAlign w:val="center"/>
          </w:tcPr>
          <w:p w14:paraId="3D309F0E">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583" w:type="dxa"/>
            <w:tcBorders>
              <w:tl2br w:val="nil"/>
              <w:tr2bl w:val="nil"/>
            </w:tcBorders>
            <w:vAlign w:val="center"/>
          </w:tcPr>
          <w:p w14:paraId="2D582B00">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名称</w:t>
            </w:r>
          </w:p>
        </w:tc>
        <w:tc>
          <w:tcPr>
            <w:tcW w:w="861" w:type="dxa"/>
            <w:tcBorders>
              <w:tl2br w:val="nil"/>
              <w:tr2bl w:val="nil"/>
            </w:tcBorders>
            <w:vAlign w:val="center"/>
          </w:tcPr>
          <w:p w14:paraId="08CB1341">
            <w:pPr>
              <w:spacing w:line="240" w:lineRule="auto"/>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val="en-US" w:eastAsia="zh-CN"/>
              </w:rPr>
              <w:t>单位</w:t>
            </w:r>
          </w:p>
        </w:tc>
        <w:tc>
          <w:tcPr>
            <w:tcW w:w="1604" w:type="dxa"/>
            <w:tcBorders>
              <w:tl2br w:val="nil"/>
              <w:tr2bl w:val="nil"/>
            </w:tcBorders>
            <w:vAlign w:val="center"/>
          </w:tcPr>
          <w:p w14:paraId="7A1DA966">
            <w:pPr>
              <w:spacing w:line="240" w:lineRule="auto"/>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环评年用量</w:t>
            </w:r>
          </w:p>
        </w:tc>
        <w:tc>
          <w:tcPr>
            <w:tcW w:w="1603" w:type="dxa"/>
            <w:tcBorders>
              <w:tl2br w:val="nil"/>
              <w:tr2bl w:val="nil"/>
            </w:tcBorders>
            <w:vAlign w:val="center"/>
          </w:tcPr>
          <w:p w14:paraId="49B59DCD">
            <w:pPr>
              <w:spacing w:line="240" w:lineRule="auto"/>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pacing w:val="-11"/>
                <w:sz w:val="21"/>
                <w:szCs w:val="21"/>
                <w:highlight w:val="none"/>
                <w:lang w:val="en-US" w:eastAsia="zh-CN"/>
              </w:rPr>
              <w:t xml:space="preserve">原辅料月均用量 </w:t>
            </w:r>
          </w:p>
        </w:tc>
        <w:tc>
          <w:tcPr>
            <w:tcW w:w="1320" w:type="dxa"/>
            <w:tcBorders>
              <w:tl2br w:val="nil"/>
              <w:tr2bl w:val="nil"/>
            </w:tcBorders>
            <w:vAlign w:val="center"/>
          </w:tcPr>
          <w:p w14:paraId="1798DC22">
            <w:pPr>
              <w:spacing w:line="240" w:lineRule="auto"/>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折算</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年用量</w:t>
            </w:r>
          </w:p>
        </w:tc>
        <w:tc>
          <w:tcPr>
            <w:tcW w:w="1632" w:type="dxa"/>
            <w:tcBorders>
              <w:tl2br w:val="nil"/>
              <w:tr2bl w:val="nil"/>
            </w:tcBorders>
            <w:vAlign w:val="center"/>
          </w:tcPr>
          <w:p w14:paraId="6A9E8605">
            <w:pPr>
              <w:spacing w:line="24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highlight w:val="none"/>
              </w:rPr>
              <w:t>备注</w:t>
            </w:r>
          </w:p>
        </w:tc>
      </w:tr>
      <w:tr w14:paraId="6227B2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6191616C">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583" w:type="dxa"/>
            <w:tcBorders>
              <w:tl2br w:val="nil"/>
              <w:tr2bl w:val="nil"/>
            </w:tcBorders>
            <w:vAlign w:val="center"/>
          </w:tcPr>
          <w:p w14:paraId="3BA846AC">
            <w:pPr>
              <w:keepNext w:val="0"/>
              <w:keepLines w:val="0"/>
              <w:widowControl/>
              <w:suppressLineNumbers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加捻纱</w:t>
            </w:r>
          </w:p>
        </w:tc>
        <w:tc>
          <w:tcPr>
            <w:tcW w:w="861" w:type="dxa"/>
            <w:tcBorders>
              <w:tl2br w:val="nil"/>
              <w:tr2bl w:val="nil"/>
            </w:tcBorders>
            <w:vAlign w:val="center"/>
          </w:tcPr>
          <w:p w14:paraId="766CB189">
            <w:pPr>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t/a</w:t>
            </w:r>
          </w:p>
        </w:tc>
        <w:tc>
          <w:tcPr>
            <w:tcW w:w="1604" w:type="dxa"/>
            <w:tcBorders>
              <w:tl2br w:val="nil"/>
              <w:tr2bl w:val="nil"/>
            </w:tcBorders>
            <w:vAlign w:val="center"/>
          </w:tcPr>
          <w:p w14:paraId="5BB7FC1C">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3750</w:t>
            </w:r>
          </w:p>
        </w:tc>
        <w:tc>
          <w:tcPr>
            <w:tcW w:w="1603" w:type="dxa"/>
            <w:tcBorders>
              <w:tl2br w:val="nil"/>
              <w:tr2bl w:val="nil"/>
            </w:tcBorders>
            <w:vAlign w:val="center"/>
          </w:tcPr>
          <w:p w14:paraId="4E415F94">
            <w:pPr>
              <w:tabs>
                <w:tab w:val="center" w:pos="4153"/>
              </w:tabs>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57.5</w:t>
            </w:r>
          </w:p>
        </w:tc>
        <w:tc>
          <w:tcPr>
            <w:tcW w:w="1320" w:type="dxa"/>
            <w:tcBorders>
              <w:tl2br w:val="nil"/>
              <w:tr2bl w:val="nil"/>
            </w:tcBorders>
            <w:vAlign w:val="center"/>
          </w:tcPr>
          <w:p w14:paraId="265575A4">
            <w:pPr>
              <w:tabs>
                <w:tab w:val="center" w:pos="4153"/>
              </w:tabs>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690</w:t>
            </w:r>
          </w:p>
        </w:tc>
        <w:tc>
          <w:tcPr>
            <w:tcW w:w="1632" w:type="dxa"/>
            <w:tcBorders>
              <w:tl2br w:val="nil"/>
              <w:tr2bl w:val="nil"/>
            </w:tcBorders>
            <w:vAlign w:val="center"/>
          </w:tcPr>
          <w:p w14:paraId="60A11F9F">
            <w:pPr>
              <w:tabs>
                <w:tab w:val="center" w:pos="4153"/>
              </w:tabs>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-3060</w:t>
            </w:r>
          </w:p>
        </w:tc>
      </w:tr>
      <w:tr w14:paraId="2D8654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262B00DF">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583" w:type="dxa"/>
            <w:tcBorders>
              <w:tl2br w:val="nil"/>
              <w:tr2bl w:val="nil"/>
            </w:tcBorders>
            <w:shd w:val="clear" w:color="auto" w:fill="auto"/>
            <w:vAlign w:val="center"/>
          </w:tcPr>
          <w:p w14:paraId="001C0CD9">
            <w:pPr>
              <w:keepNext w:val="0"/>
              <w:keepLines w:val="0"/>
              <w:widowControl/>
              <w:suppressLineNumbers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水性玻纤胶</w:t>
            </w:r>
          </w:p>
        </w:tc>
        <w:tc>
          <w:tcPr>
            <w:tcW w:w="861" w:type="dxa"/>
            <w:tcBorders>
              <w:tl2br w:val="nil"/>
              <w:tr2bl w:val="nil"/>
            </w:tcBorders>
            <w:shd w:val="clear" w:color="auto" w:fill="auto"/>
            <w:vAlign w:val="center"/>
          </w:tcPr>
          <w:p w14:paraId="11B9ACCE">
            <w:pPr>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瓶/a</w:t>
            </w:r>
          </w:p>
        </w:tc>
        <w:tc>
          <w:tcPr>
            <w:tcW w:w="1604" w:type="dxa"/>
            <w:tcBorders>
              <w:tl2br w:val="nil"/>
              <w:tr2bl w:val="nil"/>
            </w:tcBorders>
            <w:shd w:val="clear" w:color="auto" w:fill="auto"/>
            <w:vAlign w:val="center"/>
          </w:tcPr>
          <w:p w14:paraId="7C709FBA">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625</w:t>
            </w:r>
          </w:p>
        </w:tc>
        <w:tc>
          <w:tcPr>
            <w:tcW w:w="1603" w:type="dxa"/>
            <w:tcBorders>
              <w:tl2br w:val="nil"/>
              <w:tr2bl w:val="nil"/>
            </w:tcBorders>
            <w:shd w:val="clear" w:color="auto" w:fill="auto"/>
            <w:vAlign w:val="center"/>
          </w:tcPr>
          <w:p w14:paraId="31A4503E">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lang w:val="en-US" w:eastAsia="zh-CN"/>
              </w:rPr>
              <w:t>10</w:t>
            </w:r>
          </w:p>
        </w:tc>
        <w:tc>
          <w:tcPr>
            <w:tcW w:w="1320" w:type="dxa"/>
            <w:tcBorders>
              <w:tl2br w:val="nil"/>
              <w:tr2bl w:val="nil"/>
            </w:tcBorders>
            <w:shd w:val="clear" w:color="auto" w:fill="auto"/>
            <w:vAlign w:val="center"/>
          </w:tcPr>
          <w:p w14:paraId="077A097C">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120</w:t>
            </w:r>
          </w:p>
        </w:tc>
        <w:tc>
          <w:tcPr>
            <w:tcW w:w="1632" w:type="dxa"/>
            <w:tcBorders>
              <w:tl2br w:val="nil"/>
              <w:tr2bl w:val="nil"/>
            </w:tcBorders>
            <w:shd w:val="clear" w:color="auto" w:fill="auto"/>
            <w:vAlign w:val="center"/>
          </w:tcPr>
          <w:p w14:paraId="56DA3F36">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-505</w:t>
            </w:r>
          </w:p>
        </w:tc>
      </w:tr>
      <w:tr w14:paraId="5222FC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305375A5">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583" w:type="dxa"/>
            <w:tcBorders>
              <w:tl2br w:val="nil"/>
              <w:tr2bl w:val="nil"/>
            </w:tcBorders>
            <w:shd w:val="clear" w:color="auto" w:fill="auto"/>
            <w:vAlign w:val="center"/>
          </w:tcPr>
          <w:p w14:paraId="0CE2AD22">
            <w:pPr>
              <w:keepNext w:val="0"/>
              <w:keepLines w:val="0"/>
              <w:widowControl/>
              <w:suppressLineNumbers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000000"/>
                <w:kern w:val="0"/>
                <w:sz w:val="21"/>
                <w:szCs w:val="21"/>
                <w:lang w:val="en-US" w:eastAsia="zh-CN" w:bidi="ar"/>
              </w:rPr>
              <w:t>编织袋</w:t>
            </w:r>
          </w:p>
        </w:tc>
        <w:tc>
          <w:tcPr>
            <w:tcW w:w="861" w:type="dxa"/>
            <w:tcBorders>
              <w:tl2br w:val="nil"/>
              <w:tr2bl w:val="nil"/>
            </w:tcBorders>
            <w:shd w:val="clear" w:color="auto" w:fill="auto"/>
            <w:vAlign w:val="center"/>
          </w:tcPr>
          <w:p w14:paraId="5D4328BD">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0"/>
                <w:sz w:val="21"/>
                <w:szCs w:val="21"/>
                <w:lang w:val="en-US" w:eastAsia="zh-CN" w:bidi="ar"/>
              </w:rPr>
              <w:t>只</w:t>
            </w:r>
            <w:r>
              <w:rPr>
                <w:rFonts w:hint="default" w:ascii="Times New Roman" w:hAnsi="Times New Roman" w:eastAsia="宋体" w:cs="Times New Roman"/>
                <w:color w:val="auto"/>
                <w:kern w:val="0"/>
                <w:sz w:val="21"/>
                <w:szCs w:val="21"/>
                <w:lang w:val="en-US" w:eastAsia="zh-CN" w:bidi="ar"/>
              </w:rPr>
              <w:t>/a</w:t>
            </w:r>
          </w:p>
        </w:tc>
        <w:tc>
          <w:tcPr>
            <w:tcW w:w="1604" w:type="dxa"/>
            <w:tcBorders>
              <w:tl2br w:val="nil"/>
              <w:tr2bl w:val="nil"/>
            </w:tcBorders>
            <w:shd w:val="clear" w:color="auto" w:fill="auto"/>
            <w:vAlign w:val="center"/>
          </w:tcPr>
          <w:p w14:paraId="14C23F8B">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1875000</w:t>
            </w:r>
          </w:p>
        </w:tc>
        <w:tc>
          <w:tcPr>
            <w:tcW w:w="1603" w:type="dxa"/>
            <w:tcBorders>
              <w:tl2br w:val="nil"/>
              <w:tr2bl w:val="nil"/>
            </w:tcBorders>
            <w:shd w:val="clear" w:color="auto" w:fill="auto"/>
            <w:vAlign w:val="center"/>
          </w:tcPr>
          <w:p w14:paraId="60469483">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lang w:val="en-US" w:eastAsia="zh-CN"/>
              </w:rPr>
              <w:t>28750</w:t>
            </w:r>
          </w:p>
        </w:tc>
        <w:tc>
          <w:tcPr>
            <w:tcW w:w="1320" w:type="dxa"/>
            <w:tcBorders>
              <w:tl2br w:val="nil"/>
              <w:tr2bl w:val="nil"/>
            </w:tcBorders>
            <w:shd w:val="clear" w:color="auto" w:fill="auto"/>
            <w:vAlign w:val="center"/>
          </w:tcPr>
          <w:p w14:paraId="45C9A378">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345000</w:t>
            </w:r>
          </w:p>
        </w:tc>
        <w:tc>
          <w:tcPr>
            <w:tcW w:w="1632" w:type="dxa"/>
            <w:tcBorders>
              <w:tl2br w:val="nil"/>
              <w:tr2bl w:val="nil"/>
            </w:tcBorders>
            <w:shd w:val="clear" w:color="auto" w:fill="auto"/>
            <w:vAlign w:val="center"/>
          </w:tcPr>
          <w:p w14:paraId="31214D0E">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-1530000</w:t>
            </w:r>
          </w:p>
        </w:tc>
      </w:tr>
      <w:tr w14:paraId="24C23F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60A10953">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1583" w:type="dxa"/>
            <w:tcBorders>
              <w:tl2br w:val="nil"/>
              <w:tr2bl w:val="nil"/>
            </w:tcBorders>
            <w:shd w:val="clear" w:color="auto" w:fill="auto"/>
            <w:vAlign w:val="center"/>
          </w:tcPr>
          <w:p w14:paraId="7B7B2392">
            <w:pPr>
              <w:keepNext w:val="0"/>
              <w:keepLines w:val="0"/>
              <w:widowControl/>
              <w:suppressLineNumbers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薄膜</w:t>
            </w:r>
          </w:p>
        </w:tc>
        <w:tc>
          <w:tcPr>
            <w:tcW w:w="861" w:type="dxa"/>
            <w:tcBorders>
              <w:tl2br w:val="nil"/>
              <w:tr2bl w:val="nil"/>
            </w:tcBorders>
            <w:shd w:val="clear" w:color="auto" w:fill="auto"/>
            <w:vAlign w:val="center"/>
          </w:tcPr>
          <w:p w14:paraId="4454D4D7">
            <w:pPr>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万条/a</w:t>
            </w:r>
          </w:p>
        </w:tc>
        <w:tc>
          <w:tcPr>
            <w:tcW w:w="1604" w:type="dxa"/>
            <w:tcBorders>
              <w:tl2br w:val="nil"/>
              <w:tr2bl w:val="nil"/>
            </w:tcBorders>
            <w:shd w:val="clear" w:color="auto" w:fill="auto"/>
            <w:vAlign w:val="center"/>
          </w:tcPr>
          <w:p w14:paraId="3A7F96FB">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100</w:t>
            </w:r>
          </w:p>
        </w:tc>
        <w:tc>
          <w:tcPr>
            <w:tcW w:w="1603" w:type="dxa"/>
            <w:tcBorders>
              <w:tl2br w:val="nil"/>
              <w:tr2bl w:val="nil"/>
            </w:tcBorders>
            <w:shd w:val="clear" w:color="auto" w:fill="auto"/>
            <w:vAlign w:val="center"/>
          </w:tcPr>
          <w:p w14:paraId="4AB2D588">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lang w:val="en-US" w:eastAsia="zh-CN"/>
              </w:rPr>
              <w:t>1.5</w:t>
            </w:r>
          </w:p>
        </w:tc>
        <w:tc>
          <w:tcPr>
            <w:tcW w:w="1320" w:type="dxa"/>
            <w:tcBorders>
              <w:tl2br w:val="nil"/>
              <w:tr2bl w:val="nil"/>
            </w:tcBorders>
            <w:shd w:val="clear" w:color="auto" w:fill="auto"/>
            <w:vAlign w:val="center"/>
          </w:tcPr>
          <w:p w14:paraId="2BE67FD6">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18</w:t>
            </w:r>
          </w:p>
        </w:tc>
        <w:tc>
          <w:tcPr>
            <w:tcW w:w="1632" w:type="dxa"/>
            <w:tcBorders>
              <w:tl2br w:val="nil"/>
              <w:tr2bl w:val="nil"/>
            </w:tcBorders>
            <w:shd w:val="clear" w:color="auto" w:fill="auto"/>
            <w:vAlign w:val="center"/>
          </w:tcPr>
          <w:p w14:paraId="67EF469D">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-82</w:t>
            </w:r>
          </w:p>
        </w:tc>
      </w:tr>
      <w:tr w14:paraId="2A8C96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7F90F654">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1583" w:type="dxa"/>
            <w:tcBorders>
              <w:tl2br w:val="nil"/>
              <w:tr2bl w:val="nil"/>
            </w:tcBorders>
            <w:shd w:val="clear" w:color="auto" w:fill="auto"/>
            <w:vAlign w:val="center"/>
          </w:tcPr>
          <w:p w14:paraId="77E1D1FE">
            <w:pPr>
              <w:keepNext w:val="0"/>
              <w:keepLines w:val="0"/>
              <w:widowControl/>
              <w:suppressLineNumbers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纸管</w:t>
            </w:r>
          </w:p>
        </w:tc>
        <w:tc>
          <w:tcPr>
            <w:tcW w:w="861" w:type="dxa"/>
            <w:tcBorders>
              <w:tl2br w:val="nil"/>
              <w:tr2bl w:val="nil"/>
            </w:tcBorders>
            <w:shd w:val="clear" w:color="auto" w:fill="auto"/>
            <w:vAlign w:val="center"/>
          </w:tcPr>
          <w:p w14:paraId="4D6B2D90">
            <w:pPr>
              <w:jc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根</w:t>
            </w:r>
            <w:r>
              <w:rPr>
                <w:rFonts w:hint="default" w:ascii="Times New Roman" w:hAnsi="Times New Roman" w:eastAsia="宋体" w:cs="Times New Roman"/>
                <w:color w:val="auto"/>
                <w:kern w:val="0"/>
                <w:sz w:val="21"/>
                <w:szCs w:val="21"/>
                <w:lang w:val="en-US" w:eastAsia="zh-CN" w:bidi="ar"/>
              </w:rPr>
              <w:t>/a</w:t>
            </w:r>
          </w:p>
        </w:tc>
        <w:tc>
          <w:tcPr>
            <w:tcW w:w="1604" w:type="dxa"/>
            <w:tcBorders>
              <w:tl2br w:val="nil"/>
              <w:tr2bl w:val="nil"/>
            </w:tcBorders>
            <w:shd w:val="clear" w:color="auto" w:fill="auto"/>
            <w:vAlign w:val="center"/>
          </w:tcPr>
          <w:p w14:paraId="58A258D9">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2500000</w:t>
            </w:r>
          </w:p>
        </w:tc>
        <w:tc>
          <w:tcPr>
            <w:tcW w:w="1603" w:type="dxa"/>
            <w:tcBorders>
              <w:tl2br w:val="nil"/>
              <w:tr2bl w:val="nil"/>
            </w:tcBorders>
            <w:shd w:val="clear" w:color="auto" w:fill="auto"/>
            <w:vAlign w:val="center"/>
          </w:tcPr>
          <w:p w14:paraId="6AA3DACA">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Cs w:val="21"/>
                <w:highlight w:val="none"/>
                <w:lang w:val="en-US" w:eastAsia="zh-CN"/>
              </w:rPr>
              <w:t>38330</w:t>
            </w:r>
          </w:p>
        </w:tc>
        <w:tc>
          <w:tcPr>
            <w:tcW w:w="1320" w:type="dxa"/>
            <w:tcBorders>
              <w:tl2br w:val="nil"/>
              <w:tr2bl w:val="nil"/>
            </w:tcBorders>
            <w:shd w:val="clear" w:color="auto" w:fill="auto"/>
            <w:vAlign w:val="center"/>
          </w:tcPr>
          <w:p w14:paraId="6823292B">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459960</w:t>
            </w:r>
          </w:p>
        </w:tc>
        <w:tc>
          <w:tcPr>
            <w:tcW w:w="1632" w:type="dxa"/>
            <w:tcBorders>
              <w:tl2br w:val="nil"/>
              <w:tr2bl w:val="nil"/>
            </w:tcBorders>
            <w:shd w:val="clear" w:color="auto" w:fill="auto"/>
            <w:vAlign w:val="center"/>
          </w:tcPr>
          <w:p w14:paraId="22463999">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-2040040</w:t>
            </w:r>
          </w:p>
        </w:tc>
      </w:tr>
      <w:tr w14:paraId="4A89BD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7BD8A7C7">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1583" w:type="dxa"/>
            <w:tcBorders>
              <w:tl2br w:val="nil"/>
              <w:tr2bl w:val="nil"/>
            </w:tcBorders>
            <w:shd w:val="clear" w:color="auto" w:fill="auto"/>
            <w:vAlign w:val="center"/>
          </w:tcPr>
          <w:p w14:paraId="656F7192">
            <w:pPr>
              <w:keepNext w:val="0"/>
              <w:keepLines w:val="0"/>
              <w:widowControl/>
              <w:suppressLineNumbers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生物质颗粒</w:t>
            </w:r>
          </w:p>
        </w:tc>
        <w:tc>
          <w:tcPr>
            <w:tcW w:w="861" w:type="dxa"/>
            <w:tcBorders>
              <w:tl2br w:val="nil"/>
              <w:tr2bl w:val="nil"/>
            </w:tcBorders>
            <w:shd w:val="clear" w:color="auto" w:fill="auto"/>
            <w:vAlign w:val="center"/>
          </w:tcPr>
          <w:p w14:paraId="7A9550E1">
            <w:pPr>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t/a</w:t>
            </w:r>
          </w:p>
        </w:tc>
        <w:tc>
          <w:tcPr>
            <w:tcW w:w="1604" w:type="dxa"/>
            <w:tcBorders>
              <w:tl2br w:val="nil"/>
              <w:tr2bl w:val="nil"/>
            </w:tcBorders>
            <w:shd w:val="clear" w:color="auto" w:fill="auto"/>
            <w:vAlign w:val="center"/>
          </w:tcPr>
          <w:p w14:paraId="32D75281">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1750</w:t>
            </w:r>
          </w:p>
        </w:tc>
        <w:tc>
          <w:tcPr>
            <w:tcW w:w="1603" w:type="dxa"/>
            <w:tcBorders>
              <w:tl2br w:val="nil"/>
              <w:tr2bl w:val="nil"/>
            </w:tcBorders>
            <w:shd w:val="clear" w:color="auto" w:fill="auto"/>
            <w:vAlign w:val="center"/>
          </w:tcPr>
          <w:p w14:paraId="1428C8C0">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26.8</w:t>
            </w:r>
          </w:p>
        </w:tc>
        <w:tc>
          <w:tcPr>
            <w:tcW w:w="1320" w:type="dxa"/>
            <w:tcBorders>
              <w:tl2br w:val="nil"/>
              <w:tr2bl w:val="nil"/>
            </w:tcBorders>
            <w:shd w:val="clear" w:color="auto" w:fill="auto"/>
            <w:vAlign w:val="center"/>
          </w:tcPr>
          <w:p w14:paraId="1035E377">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321.6</w:t>
            </w:r>
          </w:p>
        </w:tc>
        <w:tc>
          <w:tcPr>
            <w:tcW w:w="1632" w:type="dxa"/>
            <w:tcBorders>
              <w:tl2br w:val="nil"/>
              <w:tr2bl w:val="nil"/>
            </w:tcBorders>
            <w:shd w:val="clear" w:color="auto" w:fill="auto"/>
            <w:vAlign w:val="center"/>
          </w:tcPr>
          <w:p w14:paraId="71545A99">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-1428.4</w:t>
            </w:r>
          </w:p>
        </w:tc>
      </w:tr>
      <w:tr w14:paraId="2F529C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7C446DF3">
            <w:pPr>
              <w:spacing w:line="24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1583" w:type="dxa"/>
            <w:tcBorders>
              <w:tl2br w:val="nil"/>
              <w:tr2bl w:val="nil"/>
            </w:tcBorders>
            <w:shd w:val="clear" w:color="auto" w:fill="auto"/>
            <w:vAlign w:val="center"/>
          </w:tcPr>
          <w:p w14:paraId="1BB09C8C">
            <w:pPr>
              <w:keepNext w:val="0"/>
              <w:keepLines w:val="0"/>
              <w:widowControl/>
              <w:suppressLineNumbers w:val="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机油</w:t>
            </w:r>
          </w:p>
        </w:tc>
        <w:tc>
          <w:tcPr>
            <w:tcW w:w="861" w:type="dxa"/>
            <w:tcBorders>
              <w:tl2br w:val="nil"/>
              <w:tr2bl w:val="nil"/>
            </w:tcBorders>
            <w:shd w:val="clear" w:color="auto" w:fill="auto"/>
            <w:vAlign w:val="center"/>
          </w:tcPr>
          <w:p w14:paraId="150E7D1B">
            <w:pPr>
              <w:jc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t/a</w:t>
            </w:r>
          </w:p>
        </w:tc>
        <w:tc>
          <w:tcPr>
            <w:tcW w:w="1604" w:type="dxa"/>
            <w:tcBorders>
              <w:tl2br w:val="nil"/>
              <w:tr2bl w:val="nil"/>
            </w:tcBorders>
            <w:shd w:val="clear" w:color="auto" w:fill="auto"/>
            <w:vAlign w:val="center"/>
          </w:tcPr>
          <w:p w14:paraId="0A2E23A2">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0.25</w:t>
            </w:r>
          </w:p>
        </w:tc>
        <w:tc>
          <w:tcPr>
            <w:tcW w:w="1603" w:type="dxa"/>
            <w:tcBorders>
              <w:tl2br w:val="nil"/>
              <w:tr2bl w:val="nil"/>
            </w:tcBorders>
            <w:shd w:val="clear" w:color="auto" w:fill="auto"/>
            <w:vAlign w:val="center"/>
          </w:tcPr>
          <w:p w14:paraId="47B91C18">
            <w:pPr>
              <w:tabs>
                <w:tab w:val="center" w:pos="4153"/>
              </w:tabs>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0.005</w:t>
            </w:r>
          </w:p>
        </w:tc>
        <w:tc>
          <w:tcPr>
            <w:tcW w:w="1320" w:type="dxa"/>
            <w:tcBorders>
              <w:tl2br w:val="nil"/>
              <w:tr2bl w:val="nil"/>
            </w:tcBorders>
            <w:shd w:val="clear" w:color="auto" w:fill="auto"/>
            <w:vAlign w:val="center"/>
          </w:tcPr>
          <w:p w14:paraId="203CE15E">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0.06</w:t>
            </w:r>
          </w:p>
        </w:tc>
        <w:tc>
          <w:tcPr>
            <w:tcW w:w="1632" w:type="dxa"/>
            <w:tcBorders>
              <w:tl2br w:val="nil"/>
              <w:tr2bl w:val="nil"/>
            </w:tcBorders>
            <w:shd w:val="clear" w:color="auto" w:fill="auto"/>
            <w:vAlign w:val="center"/>
          </w:tcPr>
          <w:p w14:paraId="656A2A86">
            <w:pPr>
              <w:tabs>
                <w:tab w:val="center" w:pos="4153"/>
              </w:tabs>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-0.19</w:t>
            </w:r>
          </w:p>
        </w:tc>
      </w:tr>
      <w:tr w14:paraId="700784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7E3A9628">
            <w:pPr>
              <w:numPr>
                <w:ilvl w:val="0"/>
                <w:numId w:val="0"/>
              </w:numPr>
              <w:spacing w:line="240" w:lineRule="auto"/>
              <w:jc w:val="both"/>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备注</w:t>
            </w:r>
          </w:p>
        </w:tc>
        <w:tc>
          <w:tcPr>
            <w:tcW w:w="8603" w:type="dxa"/>
            <w:gridSpan w:val="6"/>
            <w:tcBorders>
              <w:tl2br w:val="nil"/>
              <w:tr2bl w:val="nil"/>
            </w:tcBorders>
            <w:vAlign w:val="center"/>
          </w:tcPr>
          <w:p w14:paraId="4B1E55FE">
            <w:pPr>
              <w:numPr>
                <w:ilvl w:val="0"/>
                <w:numId w:val="2"/>
              </w:numPr>
              <w:spacing w:line="240" w:lineRule="auto"/>
              <w:jc w:val="both"/>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折算年用量为原辅料月均用量（2024.12.1-12.31）折算得出。</w:t>
            </w:r>
          </w:p>
          <w:p w14:paraId="6C1EC64F">
            <w:pPr>
              <w:numPr>
                <w:ilvl w:val="0"/>
                <w:numId w:val="2"/>
              </w:numPr>
              <w:spacing w:line="240" w:lineRule="auto"/>
              <w:jc w:val="both"/>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本项目为先行验收，产能为年产2000万平方米耐碱玻纤网格布。</w:t>
            </w:r>
          </w:p>
        </w:tc>
      </w:tr>
    </w:tbl>
    <w:p w14:paraId="7CD873C1">
      <w:pPr>
        <w:snapToGrid w:val="0"/>
        <w:spacing w:line="360" w:lineRule="auto"/>
        <w:ind w:firstLine="220" w:firstLineChars="200"/>
        <w:rPr>
          <w:rFonts w:hint="eastAsia" w:ascii="Times New Roman" w:hAnsi="Times New Roman" w:cs="Times New Roman"/>
          <w:sz w:val="11"/>
          <w:szCs w:val="11"/>
          <w:highlight w:val="none"/>
          <w:lang w:val="en-US" w:eastAsia="zh-CN"/>
        </w:rPr>
      </w:pPr>
    </w:p>
    <w:p w14:paraId="2D0A1EB1">
      <w:pPr>
        <w:snapToGrid w:val="0"/>
        <w:spacing w:line="360" w:lineRule="auto"/>
        <w:ind w:firstLine="480" w:firstLineChars="200"/>
        <w:rPr>
          <w:rFonts w:hint="eastAsia"/>
          <w:b/>
          <w:bCs/>
          <w:lang w:val="en-US" w:eastAsia="zh-CN"/>
        </w:rPr>
      </w:pPr>
      <w:r>
        <w:rPr>
          <w:rFonts w:hint="eastAsia" w:ascii="Times New Roman" w:hAnsi="Times New Roman" w:cs="Times New Roman"/>
          <w:sz w:val="24"/>
          <w:szCs w:val="24"/>
          <w:highlight w:val="none"/>
          <w:lang w:val="en-US" w:eastAsia="zh-CN"/>
        </w:rPr>
        <w:t>根据现场核查，现有实际生产过程中原辅料种类与环评一致，各原辅材料用量与企业现实际产能相匹配，本次为先行验收。</w:t>
      </w:r>
    </w:p>
    <w:p w14:paraId="41EF5FF8">
      <w:pPr>
        <w:pStyle w:val="5"/>
        <w:rPr>
          <w:rFonts w:ascii="Times New Roman" w:hAnsi="Times New Roman" w:cs="Times New Roman" w:eastAsiaTheme="minorEastAsia"/>
          <w:b/>
          <w:bCs/>
          <w:kern w:val="2"/>
          <w:sz w:val="24"/>
          <w:szCs w:val="24"/>
          <w:lang w:val="en-US" w:eastAsia="zh-CN" w:bidi="ar-SA"/>
        </w:rPr>
      </w:pPr>
      <w:bookmarkStart w:id="31" w:name="_Toc31281"/>
      <w:r>
        <w:rPr>
          <w:rFonts w:eastAsia="宋体"/>
        </w:rPr>
        <w:t>3.</w:t>
      </w:r>
      <w:r>
        <w:rPr>
          <w:rFonts w:hint="eastAsia" w:eastAsia="宋体"/>
          <w:lang w:val="en-US" w:eastAsia="zh-CN"/>
        </w:rPr>
        <w:t>4</w:t>
      </w:r>
      <w:r>
        <w:rPr>
          <w:rFonts w:eastAsia="宋体"/>
        </w:rPr>
        <w:t>主要生产设备</w:t>
      </w:r>
      <w:bookmarkEnd w:id="31"/>
    </w:p>
    <w:p w14:paraId="00F24D7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表3.</w:t>
      </w:r>
      <w:r>
        <w:rPr>
          <w:rFonts w:hint="eastAsia" w:ascii="Times New Roman" w:hAnsi="Times New Roman" w:cs="Times New Roman"/>
          <w:b/>
          <w:bCs/>
          <w:kern w:val="2"/>
          <w:sz w:val="24"/>
          <w:szCs w:val="24"/>
          <w:lang w:val="en-US" w:eastAsia="zh-CN" w:bidi="ar-SA"/>
        </w:rPr>
        <w:t>4</w:t>
      </w:r>
      <w:r>
        <w:rPr>
          <w:rFonts w:hint="eastAsia" w:ascii="Times New Roman" w:hAnsi="Times New Roman" w:cs="Times New Roman" w:eastAsiaTheme="minorEastAsia"/>
          <w:b/>
          <w:bCs/>
          <w:kern w:val="2"/>
          <w:sz w:val="24"/>
          <w:szCs w:val="24"/>
          <w:lang w:val="en-US" w:eastAsia="zh-CN" w:bidi="ar-SA"/>
        </w:rPr>
        <w:t>-1 项目主要</w:t>
      </w:r>
      <w:r>
        <w:rPr>
          <w:rFonts w:hint="eastAsia" w:ascii="Times New Roman" w:hAnsi="Times New Roman" w:cs="Times New Roman" w:eastAsiaTheme="minorEastAsia"/>
          <w:b/>
          <w:bCs/>
          <w:kern w:val="2"/>
          <w:sz w:val="24"/>
          <w:szCs w:val="24"/>
          <w:highlight w:val="none"/>
          <w:lang w:val="en-US" w:eastAsia="zh-CN" w:bidi="ar-SA"/>
        </w:rPr>
        <w:t>生产设</w:t>
      </w:r>
      <w:r>
        <w:rPr>
          <w:rFonts w:hint="eastAsia" w:ascii="Times New Roman" w:hAnsi="Times New Roman" w:cs="Times New Roman" w:eastAsiaTheme="minorEastAsia"/>
          <w:b/>
          <w:bCs/>
          <w:kern w:val="2"/>
          <w:sz w:val="24"/>
          <w:szCs w:val="24"/>
          <w:lang w:val="en-US" w:eastAsia="zh-CN" w:bidi="ar-SA"/>
        </w:rPr>
        <w:t>备</w:t>
      </w:r>
    </w:p>
    <w:tbl>
      <w:tblPr>
        <w:tblStyle w:val="99"/>
        <w:tblW w:w="4908"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03"/>
        <w:gridCol w:w="1577"/>
        <w:gridCol w:w="793"/>
        <w:gridCol w:w="1758"/>
        <w:gridCol w:w="1339"/>
        <w:gridCol w:w="1339"/>
        <w:gridCol w:w="1729"/>
      </w:tblGrid>
      <w:tr w14:paraId="38CCD90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tblHeader/>
          <w:jc w:val="center"/>
        </w:trPr>
        <w:tc>
          <w:tcPr>
            <w:tcW w:w="602" w:type="dxa"/>
            <w:vAlign w:val="center"/>
          </w:tcPr>
          <w:p w14:paraId="7F87A4CF">
            <w:pPr>
              <w:jc w:val="center"/>
              <w:rPr>
                <w:rFonts w:hint="default" w:ascii="Times New Roman" w:hAnsi="Times New Roman" w:eastAsia="宋体" w:cs="Times New Roman"/>
                <w:b/>
                <w:bCs/>
              </w:rPr>
            </w:pPr>
            <w:r>
              <w:rPr>
                <w:rFonts w:hint="default" w:ascii="Times New Roman" w:hAnsi="Times New Roman" w:eastAsia="宋体" w:cs="Times New Roman"/>
                <w:b/>
                <w:bCs/>
              </w:rPr>
              <w:t>序号</w:t>
            </w:r>
          </w:p>
        </w:tc>
        <w:tc>
          <w:tcPr>
            <w:tcW w:w="1575" w:type="dxa"/>
            <w:vAlign w:val="center"/>
          </w:tcPr>
          <w:p w14:paraId="0159C36A">
            <w:pPr>
              <w:widowControl/>
              <w:adjustRightInd w:val="0"/>
              <w:snapToGrid w:val="0"/>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792" w:type="dxa"/>
            <w:vAlign w:val="center"/>
          </w:tcPr>
          <w:p w14:paraId="4040E9E6">
            <w:pPr>
              <w:jc w:val="center"/>
              <w:rPr>
                <w:rFonts w:hint="default" w:ascii="Times New Roman" w:hAnsi="Times New Roman" w:eastAsia="宋体" w:cs="Times New Roman"/>
                <w:b/>
                <w:bCs/>
              </w:rPr>
            </w:pPr>
            <w:r>
              <w:rPr>
                <w:rFonts w:hint="default" w:ascii="Times New Roman" w:hAnsi="Times New Roman" w:eastAsia="宋体" w:cs="Times New Roman"/>
                <w:b/>
                <w:bCs/>
                <w:lang w:val="en-US" w:eastAsia="zh-CN"/>
              </w:rPr>
              <w:t>单位</w:t>
            </w:r>
          </w:p>
        </w:tc>
        <w:tc>
          <w:tcPr>
            <w:tcW w:w="1756" w:type="dxa"/>
            <w:vAlign w:val="center"/>
          </w:tcPr>
          <w:p w14:paraId="0AD90812">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型号</w:t>
            </w:r>
          </w:p>
        </w:tc>
        <w:tc>
          <w:tcPr>
            <w:tcW w:w="1338" w:type="dxa"/>
            <w:vAlign w:val="center"/>
          </w:tcPr>
          <w:p w14:paraId="6B56060F">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rPr>
              <w:t>环评中数量</w:t>
            </w:r>
          </w:p>
        </w:tc>
        <w:tc>
          <w:tcPr>
            <w:tcW w:w="1338" w:type="dxa"/>
            <w:vAlign w:val="center"/>
          </w:tcPr>
          <w:p w14:paraId="1092D124">
            <w:pPr>
              <w:jc w:val="center"/>
              <w:rPr>
                <w:rFonts w:hint="default" w:ascii="Times New Roman" w:hAnsi="Times New Roman" w:eastAsia="宋体" w:cs="Times New Roman"/>
                <w:b/>
                <w:bCs/>
              </w:rPr>
            </w:pPr>
            <w:r>
              <w:rPr>
                <w:rFonts w:hint="default" w:ascii="Times New Roman" w:hAnsi="Times New Roman" w:eastAsia="宋体" w:cs="Times New Roman"/>
                <w:b/>
                <w:bCs/>
              </w:rPr>
              <w:t>实际数量</w:t>
            </w:r>
          </w:p>
        </w:tc>
        <w:tc>
          <w:tcPr>
            <w:tcW w:w="1727" w:type="dxa"/>
            <w:vAlign w:val="center"/>
          </w:tcPr>
          <w:p w14:paraId="00A92FF3">
            <w:pPr>
              <w:jc w:val="center"/>
              <w:rPr>
                <w:rFonts w:hint="default" w:ascii="Times New Roman" w:hAnsi="Times New Roman" w:eastAsia="宋体" w:cs="Times New Roman"/>
                <w:b/>
                <w:bCs/>
              </w:rPr>
            </w:pPr>
            <w:r>
              <w:rPr>
                <w:rFonts w:hint="default" w:ascii="Times New Roman" w:hAnsi="Times New Roman" w:eastAsia="宋体" w:cs="Times New Roman"/>
                <w:b/>
                <w:bCs/>
              </w:rPr>
              <w:t>变化情况</w:t>
            </w:r>
          </w:p>
        </w:tc>
      </w:tr>
      <w:tr w14:paraId="2121C4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02" w:type="dxa"/>
            <w:vAlign w:val="center"/>
          </w:tcPr>
          <w:p w14:paraId="459ECBB6">
            <w:pPr>
              <w:jc w:val="center"/>
              <w:rPr>
                <w:rFonts w:hint="default" w:ascii="Times New Roman" w:hAnsi="Times New Roman" w:eastAsia="宋体" w:cs="Times New Roman"/>
                <w:lang w:val="en-US" w:eastAsia="zh-CN"/>
              </w:rPr>
            </w:pPr>
            <w:r>
              <w:rPr>
                <w:rFonts w:hint="default" w:ascii="Times New Roman" w:hAnsi="Times New Roman" w:eastAsia="宋体" w:cs="Times New Roman"/>
              </w:rPr>
              <w:t>1</w:t>
            </w:r>
          </w:p>
        </w:tc>
        <w:tc>
          <w:tcPr>
            <w:tcW w:w="1575" w:type="dxa"/>
            <w:vAlign w:val="center"/>
          </w:tcPr>
          <w:p w14:paraId="27C21963">
            <w:pPr>
              <w:widowControl/>
              <w:jc w:val="center"/>
              <w:textAlignment w:val="bottom"/>
              <w:rPr>
                <w:rFonts w:hint="default" w:ascii="Times New Roman" w:hAnsi="Times New Roman" w:cs="Times New Roman" w:eastAsiaTheme="minorEastAsia"/>
                <w:color w:val="auto"/>
                <w:kern w:val="0"/>
                <w:sz w:val="21"/>
                <w:szCs w:val="21"/>
                <w:lang w:val="en-US" w:eastAsia="zh-CN" w:bidi="ar"/>
              </w:rPr>
            </w:pPr>
            <w:r>
              <w:rPr>
                <w:rFonts w:hint="eastAsia" w:ascii="Times New Roman" w:hAnsi="Times New Roman" w:cs="Times New Roman"/>
                <w:color w:val="auto"/>
                <w:kern w:val="0"/>
                <w:sz w:val="21"/>
                <w:szCs w:val="21"/>
                <w:lang w:val="en-US" w:eastAsia="zh-CN" w:bidi="ar"/>
              </w:rPr>
              <w:t>整经机</w:t>
            </w:r>
          </w:p>
        </w:tc>
        <w:tc>
          <w:tcPr>
            <w:tcW w:w="792" w:type="dxa"/>
            <w:shd w:val="clear" w:color="auto" w:fill="auto"/>
            <w:vAlign w:val="center"/>
          </w:tcPr>
          <w:p w14:paraId="0A7E043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756" w:type="dxa"/>
            <w:vAlign w:val="center"/>
          </w:tcPr>
          <w:p w14:paraId="3F47707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8" w:type="dxa"/>
            <w:vAlign w:val="center"/>
          </w:tcPr>
          <w:p w14:paraId="51A67DCB">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18</w:t>
            </w:r>
          </w:p>
        </w:tc>
        <w:tc>
          <w:tcPr>
            <w:tcW w:w="1338" w:type="dxa"/>
            <w:shd w:val="clear" w:color="auto" w:fill="auto"/>
            <w:vAlign w:val="center"/>
          </w:tcPr>
          <w:p w14:paraId="4C5FCE3B">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6</w:t>
            </w:r>
          </w:p>
        </w:tc>
        <w:tc>
          <w:tcPr>
            <w:tcW w:w="1727" w:type="dxa"/>
            <w:vAlign w:val="center"/>
          </w:tcPr>
          <w:p w14:paraId="186264DC">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-12</w:t>
            </w:r>
          </w:p>
        </w:tc>
      </w:tr>
      <w:tr w14:paraId="1D30AA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02" w:type="dxa"/>
            <w:vAlign w:val="center"/>
          </w:tcPr>
          <w:p w14:paraId="4C9F547A">
            <w:pPr>
              <w:jc w:val="center"/>
              <w:rPr>
                <w:rFonts w:hint="default" w:ascii="Times New Roman" w:hAnsi="Times New Roman" w:eastAsia="宋体" w:cs="Times New Roman"/>
              </w:rPr>
            </w:pPr>
            <w:r>
              <w:rPr>
                <w:rFonts w:hint="default" w:ascii="Times New Roman" w:hAnsi="Times New Roman" w:eastAsia="宋体" w:cs="Times New Roman"/>
              </w:rPr>
              <w:t>2</w:t>
            </w:r>
          </w:p>
        </w:tc>
        <w:tc>
          <w:tcPr>
            <w:tcW w:w="1575" w:type="dxa"/>
            <w:vAlign w:val="center"/>
          </w:tcPr>
          <w:p w14:paraId="4207F0AE">
            <w:pPr>
              <w:widowControl/>
              <w:jc w:val="center"/>
              <w:textAlignment w:val="bottom"/>
              <w:rPr>
                <w:rFonts w:hint="default" w:ascii="Times New Roman" w:hAnsi="Times New Roman" w:cs="Times New Roman" w:eastAsiaTheme="minorEastAsia"/>
                <w:color w:val="auto"/>
                <w:kern w:val="0"/>
                <w:sz w:val="21"/>
                <w:szCs w:val="21"/>
                <w:lang w:val="en-US" w:eastAsia="zh-CN" w:bidi="ar"/>
              </w:rPr>
            </w:pPr>
            <w:r>
              <w:rPr>
                <w:rFonts w:hint="eastAsia" w:ascii="Times New Roman" w:hAnsi="Times New Roman" w:cs="Times New Roman"/>
                <w:color w:val="auto"/>
                <w:kern w:val="0"/>
                <w:sz w:val="21"/>
                <w:szCs w:val="21"/>
                <w:lang w:val="en-US" w:eastAsia="zh-CN" w:bidi="ar"/>
              </w:rPr>
              <w:t>剑杆织机</w:t>
            </w:r>
          </w:p>
        </w:tc>
        <w:tc>
          <w:tcPr>
            <w:tcW w:w="792" w:type="dxa"/>
            <w:shd w:val="clear" w:color="auto" w:fill="auto"/>
            <w:vAlign w:val="center"/>
          </w:tcPr>
          <w:p w14:paraId="3BE5F54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756" w:type="dxa"/>
            <w:vAlign w:val="center"/>
          </w:tcPr>
          <w:p w14:paraId="062AB88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8" w:type="dxa"/>
            <w:vAlign w:val="center"/>
          </w:tcPr>
          <w:p w14:paraId="609B99C8">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100</w:t>
            </w:r>
          </w:p>
        </w:tc>
        <w:tc>
          <w:tcPr>
            <w:tcW w:w="1338" w:type="dxa"/>
            <w:shd w:val="clear" w:color="auto" w:fill="auto"/>
            <w:vAlign w:val="center"/>
          </w:tcPr>
          <w:p w14:paraId="5895818E">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66</w:t>
            </w:r>
          </w:p>
        </w:tc>
        <w:tc>
          <w:tcPr>
            <w:tcW w:w="1727" w:type="dxa"/>
            <w:vAlign w:val="center"/>
          </w:tcPr>
          <w:p w14:paraId="2BF97081">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-34</w:t>
            </w:r>
          </w:p>
        </w:tc>
      </w:tr>
      <w:tr w14:paraId="62DD0C8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02" w:type="dxa"/>
            <w:vAlign w:val="center"/>
          </w:tcPr>
          <w:p w14:paraId="6F92E436">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3</w:t>
            </w:r>
          </w:p>
        </w:tc>
        <w:tc>
          <w:tcPr>
            <w:tcW w:w="1575" w:type="dxa"/>
            <w:vAlign w:val="center"/>
          </w:tcPr>
          <w:p w14:paraId="7793C438">
            <w:pPr>
              <w:widowControl/>
              <w:jc w:val="center"/>
              <w:textAlignment w:val="bottom"/>
              <w:rPr>
                <w:rFonts w:hint="default" w:ascii="Times New Roman" w:hAnsi="Times New Roman" w:cs="Times New Roman" w:eastAsiaTheme="minorEastAsia"/>
                <w:color w:val="auto"/>
                <w:kern w:val="0"/>
                <w:sz w:val="21"/>
                <w:szCs w:val="21"/>
                <w:lang w:val="en-US" w:eastAsia="zh-CN" w:bidi="ar"/>
              </w:rPr>
            </w:pPr>
            <w:r>
              <w:rPr>
                <w:rFonts w:hint="eastAsia" w:ascii="Times New Roman" w:hAnsi="Times New Roman" w:cs="Times New Roman"/>
                <w:color w:val="auto"/>
                <w:kern w:val="0"/>
                <w:sz w:val="21"/>
                <w:szCs w:val="21"/>
                <w:lang w:val="en-US" w:eastAsia="zh-CN" w:bidi="ar"/>
              </w:rPr>
              <w:t>一体化滚胶机（含燃烧机）</w:t>
            </w:r>
          </w:p>
        </w:tc>
        <w:tc>
          <w:tcPr>
            <w:tcW w:w="792" w:type="dxa"/>
            <w:vAlign w:val="center"/>
          </w:tcPr>
          <w:p w14:paraId="202FD8C9">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756" w:type="dxa"/>
            <w:vAlign w:val="center"/>
          </w:tcPr>
          <w:p w14:paraId="4105C8F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8" w:type="dxa"/>
            <w:vAlign w:val="center"/>
          </w:tcPr>
          <w:p w14:paraId="202E35FD">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20</w:t>
            </w:r>
          </w:p>
        </w:tc>
        <w:tc>
          <w:tcPr>
            <w:tcW w:w="1338" w:type="dxa"/>
            <w:shd w:val="clear" w:color="auto" w:fill="auto"/>
            <w:vAlign w:val="center"/>
          </w:tcPr>
          <w:p w14:paraId="0BA44815">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3</w:t>
            </w:r>
          </w:p>
        </w:tc>
        <w:tc>
          <w:tcPr>
            <w:tcW w:w="1727" w:type="dxa"/>
            <w:vAlign w:val="center"/>
          </w:tcPr>
          <w:p w14:paraId="3889FB97">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-17</w:t>
            </w:r>
          </w:p>
        </w:tc>
      </w:tr>
      <w:tr w14:paraId="6CA49E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02" w:type="dxa"/>
            <w:vAlign w:val="center"/>
          </w:tcPr>
          <w:p w14:paraId="12B87B07">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4</w:t>
            </w:r>
          </w:p>
        </w:tc>
        <w:tc>
          <w:tcPr>
            <w:tcW w:w="1575" w:type="dxa"/>
            <w:vAlign w:val="center"/>
          </w:tcPr>
          <w:p w14:paraId="5E62C8D6">
            <w:pPr>
              <w:widowControl/>
              <w:jc w:val="center"/>
              <w:textAlignment w:val="bottom"/>
              <w:rPr>
                <w:rFonts w:hint="default" w:ascii="Times New Roman" w:hAnsi="Times New Roman" w:cs="Times New Roman" w:eastAsiaTheme="minorEastAsia"/>
                <w:color w:val="auto"/>
                <w:kern w:val="0"/>
                <w:sz w:val="21"/>
                <w:szCs w:val="21"/>
                <w:lang w:val="en-US" w:eastAsia="zh-CN" w:bidi="ar"/>
              </w:rPr>
            </w:pPr>
            <w:r>
              <w:rPr>
                <w:rFonts w:hint="eastAsia" w:ascii="Times New Roman" w:hAnsi="Times New Roman" w:cs="Times New Roman"/>
                <w:color w:val="auto"/>
                <w:kern w:val="0"/>
                <w:sz w:val="21"/>
                <w:szCs w:val="21"/>
                <w:lang w:val="en-US" w:eastAsia="zh-CN" w:bidi="ar"/>
              </w:rPr>
              <w:t>塑封机</w:t>
            </w:r>
          </w:p>
        </w:tc>
        <w:tc>
          <w:tcPr>
            <w:tcW w:w="792" w:type="dxa"/>
            <w:vAlign w:val="center"/>
          </w:tcPr>
          <w:p w14:paraId="1A84303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756" w:type="dxa"/>
            <w:vAlign w:val="center"/>
          </w:tcPr>
          <w:p w14:paraId="7243D00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8" w:type="dxa"/>
            <w:vAlign w:val="center"/>
          </w:tcPr>
          <w:p w14:paraId="2B5E76F9">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20</w:t>
            </w:r>
          </w:p>
        </w:tc>
        <w:tc>
          <w:tcPr>
            <w:tcW w:w="1338" w:type="dxa"/>
            <w:shd w:val="clear" w:color="auto" w:fill="auto"/>
            <w:vAlign w:val="center"/>
          </w:tcPr>
          <w:p w14:paraId="50E6EA16">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3</w:t>
            </w:r>
          </w:p>
        </w:tc>
        <w:tc>
          <w:tcPr>
            <w:tcW w:w="1727" w:type="dxa"/>
            <w:vAlign w:val="center"/>
          </w:tcPr>
          <w:p w14:paraId="0D2C2799">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-17</w:t>
            </w:r>
          </w:p>
        </w:tc>
      </w:tr>
      <w:tr w14:paraId="6289097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02" w:type="dxa"/>
            <w:vAlign w:val="center"/>
          </w:tcPr>
          <w:p w14:paraId="3A02FE04">
            <w:pPr>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5</w:t>
            </w:r>
          </w:p>
        </w:tc>
        <w:tc>
          <w:tcPr>
            <w:tcW w:w="1575" w:type="dxa"/>
            <w:vAlign w:val="center"/>
          </w:tcPr>
          <w:p w14:paraId="020E9BDE">
            <w:pPr>
              <w:widowControl/>
              <w:jc w:val="center"/>
              <w:textAlignment w:val="bottom"/>
              <w:rPr>
                <w:rFonts w:hint="default" w:ascii="Times New Roman" w:hAnsi="Times New Roman" w:cs="Times New Roman" w:eastAsiaTheme="minorEastAsia"/>
                <w:color w:val="auto"/>
                <w:kern w:val="0"/>
                <w:sz w:val="21"/>
                <w:szCs w:val="21"/>
                <w:lang w:val="en-US" w:eastAsia="zh-CN" w:bidi="ar"/>
              </w:rPr>
            </w:pPr>
            <w:r>
              <w:rPr>
                <w:rFonts w:hint="eastAsia" w:ascii="Times New Roman" w:hAnsi="Times New Roman" w:cs="Times New Roman"/>
                <w:color w:val="auto"/>
                <w:kern w:val="0"/>
                <w:sz w:val="21"/>
                <w:szCs w:val="21"/>
                <w:lang w:val="en-US" w:eastAsia="zh-CN" w:bidi="ar"/>
              </w:rPr>
              <w:t>打包机</w:t>
            </w:r>
          </w:p>
        </w:tc>
        <w:tc>
          <w:tcPr>
            <w:tcW w:w="792" w:type="dxa"/>
            <w:vAlign w:val="center"/>
          </w:tcPr>
          <w:p w14:paraId="4203E87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756" w:type="dxa"/>
            <w:vAlign w:val="center"/>
          </w:tcPr>
          <w:p w14:paraId="57EF52F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38" w:type="dxa"/>
            <w:vAlign w:val="center"/>
          </w:tcPr>
          <w:p w14:paraId="120921D4">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5</w:t>
            </w:r>
          </w:p>
        </w:tc>
        <w:tc>
          <w:tcPr>
            <w:tcW w:w="1338" w:type="dxa"/>
            <w:shd w:val="clear" w:color="auto" w:fill="auto"/>
            <w:vAlign w:val="center"/>
          </w:tcPr>
          <w:p w14:paraId="46B08578">
            <w:pPr>
              <w:widowControl/>
              <w:jc w:val="center"/>
              <w:textAlignment w:val="bottom"/>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sz w:val="21"/>
                <w:szCs w:val="21"/>
                <w:lang w:val="en-US" w:eastAsia="zh-CN" w:bidi="ar-SA"/>
              </w:rPr>
              <w:t>3</w:t>
            </w:r>
          </w:p>
        </w:tc>
        <w:tc>
          <w:tcPr>
            <w:tcW w:w="1727" w:type="dxa"/>
            <w:vAlign w:val="center"/>
          </w:tcPr>
          <w:p w14:paraId="2DA7350B">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w:t>
            </w:r>
          </w:p>
        </w:tc>
      </w:tr>
    </w:tbl>
    <w:p w14:paraId="43AA2D19">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项目实际生产设备种类、实际生产设备数量比环评有所减少，整经机减少12台、剑杆织机减少34台、一体化滚胶机（含燃烧机）减少17台、塑封机减少17台、打包机减少2台，符合现有产能，本次验收为先行验收，验收范围为“年产2000万平方米耐碱玻纤网格布”，未新增污染物及污染物排放量，不属于重大变动。</w:t>
      </w:r>
    </w:p>
    <w:p w14:paraId="4E9D38A9">
      <w:pPr>
        <w:pStyle w:val="5"/>
        <w:rPr>
          <w:rFonts w:eastAsia="宋体"/>
        </w:rPr>
      </w:pPr>
      <w:bookmarkStart w:id="32" w:name="_Toc3815"/>
      <w:r>
        <w:rPr>
          <w:rFonts w:eastAsia="宋体"/>
        </w:rPr>
        <w:t>3.</w:t>
      </w:r>
      <w:r>
        <w:rPr>
          <w:rFonts w:hint="eastAsia" w:eastAsia="宋体"/>
          <w:lang w:val="en-US" w:eastAsia="zh-CN"/>
        </w:rPr>
        <w:t>5</w:t>
      </w:r>
      <w:r>
        <w:rPr>
          <w:rFonts w:eastAsia="宋体"/>
        </w:rPr>
        <w:t>水源及水平衡</w:t>
      </w:r>
      <w:bookmarkEnd w:id="32"/>
    </w:p>
    <w:p w14:paraId="15EA5AF0">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本项目用水主要为水喷淋除尘用水、以及员工的生活用水。</w:t>
      </w:r>
    </w:p>
    <w:p w14:paraId="414FC40B">
      <w:pPr>
        <w:numPr>
          <w:ilvl w:val="0"/>
          <w:numId w:val="3"/>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项目用水情况</w:t>
      </w:r>
    </w:p>
    <w:p w14:paraId="1FB90859">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水喷淋除尘用水：项目生物质颗粒燃烧废气收集后先经过水喷淋处理后，再与滚胶、烘干废气经由同一套“两级水喷淋+除油+干湿分离+活性炭吸附”处理装置处置，单个喷淋设备有效容量为5m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，循环量为15m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w:t>
      </w:r>
    </w:p>
    <w:p w14:paraId="6D244E05">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生活用水：企业现有员工36</w:t>
      </w:r>
      <w:r>
        <w:rPr>
          <w:rFonts w:hint="default" w:ascii="Times New Roman" w:hAnsi="Times New Roman" w:cs="Times New Roman"/>
          <w:sz w:val="24"/>
          <w:szCs w:val="24"/>
          <w:highlight w:val="none"/>
          <w:lang w:val="en-US" w:eastAsia="zh-CN"/>
        </w:rPr>
        <w:t>人</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年工作日为300天，员工生活用水量按每人每天0.</w:t>
      </w:r>
      <w:r>
        <w:rPr>
          <w:rFonts w:hint="eastAsia" w:ascii="Times New Roman" w:hAnsi="Times New Roman" w:cs="Times New Roman"/>
          <w:sz w:val="24"/>
          <w:szCs w:val="24"/>
          <w:highlight w:val="none"/>
          <w:lang w:val="en-US" w:eastAsia="zh-CN"/>
        </w:rPr>
        <w:t>12</w:t>
      </w:r>
      <w:r>
        <w:rPr>
          <w:rFonts w:hint="default" w:ascii="Times New Roman" w:hAnsi="Times New Roman" w:cs="Times New Roman"/>
          <w:sz w:val="24"/>
          <w:szCs w:val="24"/>
          <w:highlight w:val="none"/>
          <w:lang w:val="en-US" w:eastAsia="zh-CN"/>
        </w:rPr>
        <w:t>m</w:t>
      </w:r>
      <w:r>
        <w:rPr>
          <w:rFonts w:hint="default" w:ascii="Times New Roman" w:hAnsi="Times New Roman" w:cs="Times New Roman"/>
          <w:sz w:val="24"/>
          <w:szCs w:val="24"/>
          <w:highlight w:val="none"/>
          <w:vertAlign w:val="superscript"/>
          <w:lang w:val="en-US" w:eastAsia="zh-CN"/>
        </w:rPr>
        <w:t>3</w:t>
      </w:r>
      <w:r>
        <w:rPr>
          <w:rFonts w:hint="default" w:ascii="Times New Roman" w:hAnsi="Times New Roman" w:cs="Times New Roman"/>
          <w:sz w:val="24"/>
          <w:szCs w:val="24"/>
          <w:highlight w:val="none"/>
          <w:lang w:val="en-US" w:eastAsia="zh-CN"/>
        </w:rPr>
        <w:t>计，</w:t>
      </w:r>
      <w:r>
        <w:rPr>
          <w:rFonts w:hint="eastAsia" w:ascii="Times New Roman" w:hAnsi="Times New Roman" w:cs="Times New Roman"/>
          <w:sz w:val="24"/>
          <w:szCs w:val="24"/>
          <w:highlight w:val="none"/>
          <w:lang w:val="en-US" w:eastAsia="zh-CN"/>
        </w:rPr>
        <w:t>生活用水量为1296t/a。</w:t>
      </w:r>
    </w:p>
    <w:p w14:paraId="2EBB8C90">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（2）项目废水产生及排放情况</w:t>
      </w:r>
    </w:p>
    <w:p w14:paraId="712909D5">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水喷淋除尘废水：水喷淋除尘废水经定期清渣后循环使用，并根据损耗进行补充，不外排，补充量为1.5m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/d（450m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/a）。</w:t>
      </w:r>
    </w:p>
    <w:p w14:paraId="7543262B">
      <w:pPr>
        <w:snapToGrid w:val="0"/>
        <w:spacing w:line="360" w:lineRule="auto"/>
        <w:ind w:firstLine="480" w:firstLineChars="200"/>
        <w:rPr>
          <w:rFonts w:hint="default"/>
          <w:highlight w:val="none"/>
          <w:lang w:val="en-US" w:eastAsia="zh-CN"/>
        </w:rPr>
      </w:pPr>
      <w:r>
        <w:rPr>
          <w:rFonts w:hint="eastAsia" w:ascii="Times New Roman" w:hAnsi="Times New Roman" w:cs="Times New Roman"/>
          <w:sz w:val="24"/>
          <w:szCs w:val="24"/>
          <w:highlight w:val="none"/>
          <w:lang w:val="en-US" w:eastAsia="zh-CN"/>
        </w:rPr>
        <w:t>生活用水：本项目生活用水量为1296t/a，污水产生系数按0.85计，废水量1101.6t/a，经厂区内化粪池预处理后纳入市政污水管网。</w:t>
      </w:r>
    </w:p>
    <w:p w14:paraId="2EDC8BF4">
      <w:pPr>
        <w:snapToGrid w:val="0"/>
        <w:spacing w:line="240" w:lineRule="auto"/>
        <w:ind w:firstLine="480" w:firstLineChars="200"/>
        <w:jc w:val="both"/>
      </w:pPr>
      <w:r>
        <w:rPr>
          <w:rFonts w:hint="eastAsia" w:ascii="Times New Roman" w:hAnsi="Times New Roman" w:cs="Times New Roman"/>
          <w:sz w:val="24"/>
          <w:szCs w:val="24"/>
          <w:highlight w:val="none"/>
          <w:lang w:val="en-US" w:eastAsia="zh-CN"/>
        </w:rPr>
        <w:t>项目水平衡图见图3.4-1。</w:t>
      </w:r>
    </w:p>
    <w:p w14:paraId="76C8F5A8">
      <w:pPr>
        <w:pStyle w:val="14"/>
        <w:spacing w:beforeAutospacing="0" w:afterAutospacing="0"/>
        <w:jc w:val="center"/>
        <w:rPr>
          <w:rFonts w:hint="eastAsia" w:eastAsiaTheme="minorEastAsia"/>
          <w:sz w:val="21"/>
          <w:szCs w:val="21"/>
          <w:lang w:eastAsia="zh-CN"/>
        </w:rPr>
      </w:pPr>
      <w:r>
        <w:rPr>
          <w:sz w:val="18"/>
        </w:rPr>
        <mc:AlternateContent>
          <mc:Choice Requires="wps">
            <w:drawing>
              <wp:anchor distT="0" distB="0" distL="114300" distR="114300" simplePos="0" relativeHeight="251664384" behindDoc="0" locked="0" layoutInCell="1" allowOverlap="1">
                <wp:simplePos x="0" y="0"/>
                <wp:positionH relativeFrom="column">
                  <wp:posOffset>3891915</wp:posOffset>
                </wp:positionH>
                <wp:positionV relativeFrom="paragraph">
                  <wp:posOffset>4253230</wp:posOffset>
                </wp:positionV>
                <wp:extent cx="719455" cy="2540"/>
                <wp:effectExtent l="0" t="0" r="0" b="0"/>
                <wp:wrapNone/>
                <wp:docPr id="247" name="直接连接符 247"/>
                <wp:cNvGraphicFramePr/>
                <a:graphic xmlns:a="http://schemas.openxmlformats.org/drawingml/2006/main">
                  <a:graphicData uri="http://schemas.microsoft.com/office/word/2010/wordprocessingShape">
                    <wps:wsp>
                      <wps:cNvCnPr/>
                      <wps:spPr>
                        <a:xfrm>
                          <a:off x="4970780" y="8373745"/>
                          <a:ext cx="719455" cy="2540"/>
                        </a:xfrm>
                        <a:prstGeom prst="line">
                          <a:avLst/>
                        </a:prstGeom>
                        <a:ln w="12700">
                          <a:solidFill>
                            <a:schemeClr val="tx1"/>
                          </a:solidFill>
                          <a:tailEnd type="none"/>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306.45pt;margin-top:334.9pt;height:0.2pt;width:56.65pt;z-index:251664384;mso-width-relative:page;mso-height-relative:page;" filled="f" stroked="t" coordsize="21600,21600" o:gfxdata="UEsDBAoAAAAAAIdO4kAAAAAAAAAAAAAAAAAEAAAAZHJzL1BLAwQUAAAACACHTuJABv4rBtoAAAAL&#10;AQAADwAAAGRycy9kb3ducmV2LnhtbE2PzU7DMBCE70i8g7VI3KgdH5I0xOkBVFUgLm2RuLrxEqeN&#10;7TR2f3h7lhO97e6MZr+pF1c3sDNOsQ9eQTYTwNC3wfS+U/C5XT6VwGLS3ugheFTwgxEWzf1drSsT&#10;Ln6N503qGIX4WGkFNqWx4jy2Fp2OszCiJ+07TE4nWqeOm0lfKNwNXAqRc6d7Tx+sHvHFYnvYnJwC&#10;/bpap69Svhf9m/3Yb5fHlS2PSj0+ZOIZWMJr+jfDHz6hQ0NMu3DyJrJBQZ7JOVlpyOfUgRyFzCWw&#10;HV0KIYE3Nb/t0PwCUEsDBBQAAAAIAIdO4kAS3mIo/AEAAMUDAAAOAAAAZHJzL2Uyb0RvYy54bWyt&#10;U81y0zAQvjPDO2h0J3ZSB6eeOD00lAsDmYE+gCLLtmb0N1o1Tl6CF2CGG5w4cudtKI/BSnZbKJce&#10;8EFeaVff7vftan1x1IochAdpTU3ns5wSYbhtpOlqev3h6sWKEgjMNExZI2p6EkAvNs+frQdXiYXt&#10;rWqEJwhioBpcTfsQXJVlwHuhGcysEwadrfWaBdz6Lms8GxBdq2yR5y+zwfrGecsFAJ5uRyedEP1T&#10;AG3bSi62lt9oYcKI6oViASlBLx3QTaq2bQUP79oWRCCqpsg0pBWToL2Pa7ZZs6rzzPWSTyWwp5Tw&#10;iJNm0mDSe6gtC4zcePkPlJbcW7BtmHGrs5FIUgRZzPNH2rzvmROJC0oN7l50+H+w/O1h54lsaroo&#10;SkoM09jy20/ff3788uvHZ1xvv30l0YVCDQ4qjL80Oz/twO18ZH1svY5/5EOONS3Oy7xcocSnmq7O&#10;yrOyWI5Ci2MgHAPK+XmxXFLCMWCxLFIbsgcY5yG8FlaTaNRUSRNVYBU7vIGAqTH0LiQeG3sllUqd&#10;VIYMONSLMsfsnOF4tjgWaGqHFMF0lDDV4dzz4BMkWCWbeD0Cge/2l8qTA4vTkr5YN6b7Kyzm3jLo&#10;x7jkGukFJtUr05BwcqiiweczXVcGUaJ8o2DR2tvmlHRM59jdlGeaxDg+f+7T7YfXt/k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Bv4rBtoAAAALAQAADwAAAAAAAAABACAAAAAiAAAAZHJzL2Rvd25y&#10;ZXYueG1sUEsBAhQAFAAAAAgAh07iQBLeYij8AQAAxQMAAA4AAAAAAAAAAQAgAAAAKQEAAGRycy9l&#10;Mm9Eb2MueG1sUEsFBgAAAAAGAAYAWQEAAJcFAAAAAA==&#10;">
                <v:fill on="f" focussize="0,0"/>
                <v:stroke weight="1pt" color="#000000 [3213]" joinstyle="round"/>
                <v:imagedata o:title=""/>
                <o:lock v:ext="edit" aspectratio="f"/>
              </v:line>
            </w:pict>
          </mc:Fallback>
        </mc:AlternateContent>
      </w:r>
      <w:r>
        <w:rPr>
          <w:rFonts w:hint="eastAsia" w:eastAsiaTheme="minorEastAsia"/>
          <w:sz w:val="21"/>
          <w:szCs w:val="21"/>
          <w:lang w:eastAsia="zh-CN"/>
        </w:rPr>
        <w:drawing>
          <wp:inline distT="0" distB="0" distL="114300" distR="114300">
            <wp:extent cx="5830570" cy="1529080"/>
            <wp:effectExtent l="0" t="0" r="17780" b="13970"/>
            <wp:docPr id="8" name="图片 8" descr="174194178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41941781574"/>
                    <pic:cNvPicPr>
                      <a:picLocks noChangeAspect="1"/>
                    </pic:cNvPicPr>
                  </pic:nvPicPr>
                  <pic:blipFill>
                    <a:blip r:embed="rId15"/>
                    <a:stretch>
                      <a:fillRect/>
                    </a:stretch>
                  </pic:blipFill>
                  <pic:spPr>
                    <a:xfrm>
                      <a:off x="0" y="0"/>
                      <a:ext cx="5830570" cy="1529080"/>
                    </a:xfrm>
                    <a:prstGeom prst="rect">
                      <a:avLst/>
                    </a:prstGeom>
                  </pic:spPr>
                </pic:pic>
              </a:graphicData>
            </a:graphic>
          </wp:inline>
        </w:drawing>
      </w:r>
    </w:p>
    <w:p w14:paraId="7963B5C8">
      <w:pPr>
        <w:snapToGrid w:val="0"/>
        <w:spacing w:line="360" w:lineRule="auto"/>
        <w:jc w:val="center"/>
        <w:rPr>
          <w:rFonts w:ascii="Times New Roman" w:hAnsi="Times New Roman" w:eastAsia="宋体"/>
          <w:b/>
        </w:rPr>
      </w:pPr>
      <w:r>
        <w:rPr>
          <w:rFonts w:ascii="Times New Roman" w:hAnsi="Times New Roman" w:eastAsia="宋体"/>
          <w:b/>
        </w:rPr>
        <w:t xml:space="preserve">图 </w:t>
      </w:r>
      <w:r>
        <w:rPr>
          <w:rFonts w:ascii="Times New Roman" w:hAnsi="Times New Roman" w:eastAsia="宋体" w:cs="Times New Roman"/>
          <w:b/>
        </w:rPr>
        <w:t xml:space="preserve">3.4-1  </w:t>
      </w:r>
      <w:r>
        <w:rPr>
          <w:rFonts w:hint="eastAsia" w:ascii="Times New Roman" w:hAnsi="Times New Roman" w:eastAsia="宋体" w:cs="Times New Roman"/>
          <w:b/>
          <w:highlight w:val="none"/>
        </w:rPr>
        <w:t>本项目</w:t>
      </w:r>
      <w:r>
        <w:rPr>
          <w:rFonts w:ascii="Times New Roman" w:hAnsi="Times New Roman" w:eastAsia="宋体"/>
          <w:b/>
          <w:highlight w:val="none"/>
        </w:rPr>
        <w:t>项目水平衡图</w:t>
      </w:r>
      <w:r>
        <w:rPr>
          <w:rFonts w:ascii="Times New Roman" w:hAnsi="Times New Roman" w:eastAsia="宋体"/>
          <w:b/>
        </w:rPr>
        <w:t>（单位：</w:t>
      </w:r>
      <w:r>
        <w:rPr>
          <w:rFonts w:ascii="Times New Roman" w:hAnsi="Times New Roman" w:eastAsia="宋体" w:cs="Times New Roman"/>
          <w:b/>
        </w:rPr>
        <w:t>t/a</w:t>
      </w:r>
      <w:r>
        <w:rPr>
          <w:rFonts w:ascii="Times New Roman" w:hAnsi="Times New Roman" w:eastAsia="宋体"/>
          <w:b/>
        </w:rPr>
        <w:t>）</w:t>
      </w:r>
    </w:p>
    <w:p w14:paraId="3DA29E78">
      <w:pPr>
        <w:pStyle w:val="5"/>
        <w:rPr>
          <w:rFonts w:eastAsia="宋体"/>
          <w:highlight w:val="none"/>
        </w:rPr>
      </w:pPr>
      <w:bookmarkStart w:id="33" w:name="_Toc10917"/>
      <w:r>
        <w:rPr>
          <w:rFonts w:eastAsia="宋体"/>
          <w:highlight w:val="none"/>
        </w:rPr>
        <w:t>3.</w:t>
      </w:r>
      <w:r>
        <w:rPr>
          <w:rFonts w:hint="eastAsia" w:eastAsia="宋体"/>
          <w:highlight w:val="none"/>
          <w:lang w:val="en-US" w:eastAsia="zh-CN"/>
        </w:rPr>
        <w:t>6</w:t>
      </w:r>
      <w:r>
        <w:rPr>
          <w:rFonts w:eastAsia="宋体"/>
          <w:highlight w:val="none"/>
        </w:rPr>
        <w:t>生产工艺</w:t>
      </w:r>
      <w:bookmarkEnd w:id="33"/>
    </w:p>
    <w:p w14:paraId="59999D89">
      <w:pPr>
        <w:numPr>
          <w:ilvl w:val="0"/>
          <w:numId w:val="0"/>
        </w:numPr>
        <w:spacing w:line="360" w:lineRule="auto"/>
        <w:ind w:firstLine="482" w:firstLineChars="200"/>
        <w:rPr>
          <w:rFonts w:ascii="Times New Roman" w:hAnsi="Times New Roman" w:cs="Times New Roman"/>
          <w:b/>
          <w:bCs/>
          <w:sz w:val="24"/>
          <w:szCs w:val="24"/>
          <w:highlight w:val="none"/>
        </w:rPr>
      </w:pPr>
      <w:bookmarkStart w:id="34" w:name="_Hlk535413610"/>
      <w:bookmarkStart w:id="35" w:name="_Hlk523347195"/>
      <w:r>
        <w:rPr>
          <w:rFonts w:hint="eastAsia" w:ascii="Times New Roman" w:hAnsi="Times New Roman" w:cs="Times New Roman"/>
          <w:b/>
          <w:bCs/>
          <w:sz w:val="24"/>
          <w:szCs w:val="24"/>
          <w:highlight w:val="none"/>
          <w:lang w:val="en-US" w:eastAsia="zh-CN"/>
        </w:rPr>
        <w:t>3.6.1 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4"/>
      <w:r>
        <w:rPr>
          <w:rFonts w:ascii="Times New Roman" w:hAnsi="Times New Roman" w:cs="Times New Roman"/>
          <w:b/>
          <w:bCs/>
          <w:sz w:val="24"/>
          <w:szCs w:val="24"/>
          <w:highlight w:val="none"/>
        </w:rPr>
        <w:t>3.</w:t>
      </w:r>
      <w:r>
        <w:rPr>
          <w:rFonts w:hint="eastAsia" w:ascii="Times New Roman" w:hAnsi="Times New Roman" w:cs="Times New Roman"/>
          <w:b/>
          <w:bCs/>
          <w:sz w:val="24"/>
          <w:szCs w:val="24"/>
          <w:highlight w:val="none"/>
          <w:lang w:val="en-US" w:eastAsia="zh-CN"/>
        </w:rPr>
        <w:t>6</w:t>
      </w:r>
      <w:r>
        <w:rPr>
          <w:rFonts w:ascii="Times New Roman" w:hAnsi="Times New Roman" w:cs="Times New Roman"/>
          <w:b/>
          <w:bCs/>
          <w:sz w:val="24"/>
          <w:szCs w:val="24"/>
          <w:highlight w:val="none"/>
        </w:rPr>
        <w:t>-</w:t>
      </w:r>
      <w:r>
        <w:rPr>
          <w:rFonts w:hint="eastAsia" w:ascii="Times New Roman" w:hAnsi="Times New Roman" w:cs="Times New Roman"/>
          <w:b/>
          <w:bCs/>
          <w:sz w:val="24"/>
          <w:szCs w:val="24"/>
          <w:highlight w:val="none"/>
        </w:rPr>
        <w:t>1</w:t>
      </w:r>
      <w:r>
        <w:rPr>
          <w:rFonts w:ascii="Times New Roman" w:hAnsi="Times New Roman" w:cs="Times New Roman"/>
          <w:b/>
          <w:bCs/>
          <w:sz w:val="24"/>
          <w:szCs w:val="24"/>
          <w:highlight w:val="none"/>
        </w:rPr>
        <w:t>：</w:t>
      </w:r>
    </w:p>
    <w:p w14:paraId="0B795670">
      <w:pPr>
        <w:numPr>
          <w:ilvl w:val="0"/>
          <w:numId w:val="0"/>
        </w:numPr>
        <w:spacing w:line="360" w:lineRule="auto"/>
        <w:ind w:firstLine="482" w:firstLineChars="200"/>
        <w:rPr>
          <w:rFonts w:hint="default" w:ascii="Times New Roman" w:hAnsi="Times New Roman" w:cs="Times New Roman" w:eastAsiaTheme="minorEastAsia"/>
          <w:b/>
          <w:bCs/>
          <w:sz w:val="24"/>
          <w:szCs w:val="24"/>
          <w:highlight w:val="none"/>
          <w:lang w:val="en-US" w:eastAsia="zh-CN"/>
        </w:rPr>
      </w:pPr>
      <w:r>
        <w:rPr>
          <w:rFonts w:hint="eastAsia" w:ascii="Times New Roman" w:hAnsi="Times New Roman" w:cs="Times New Roman"/>
          <w:b/>
          <w:bCs/>
          <w:sz w:val="24"/>
          <w:szCs w:val="24"/>
          <w:highlight w:val="none"/>
          <w:lang w:eastAsia="zh-CN"/>
        </w:rPr>
        <w:t>（</w:t>
      </w:r>
      <w:r>
        <w:rPr>
          <w:rFonts w:hint="eastAsia" w:ascii="Times New Roman" w:hAnsi="Times New Roman" w:cs="Times New Roman"/>
          <w:b/>
          <w:bCs/>
          <w:sz w:val="24"/>
          <w:szCs w:val="24"/>
          <w:highlight w:val="none"/>
          <w:lang w:val="en-US" w:eastAsia="zh-CN"/>
        </w:rPr>
        <w:t>一</w:t>
      </w:r>
      <w:r>
        <w:rPr>
          <w:rFonts w:hint="eastAsia" w:ascii="Times New Roman" w:hAnsi="Times New Roman" w:cs="Times New Roman"/>
          <w:b/>
          <w:bCs/>
          <w:sz w:val="24"/>
          <w:szCs w:val="24"/>
          <w:highlight w:val="none"/>
          <w:lang w:eastAsia="zh-CN"/>
        </w:rPr>
        <w:t>）</w:t>
      </w:r>
      <w:r>
        <w:rPr>
          <w:rFonts w:hint="eastAsia" w:ascii="Times New Roman" w:hAnsi="Times New Roman" w:cs="Times New Roman"/>
          <w:b/>
          <w:bCs/>
          <w:sz w:val="24"/>
          <w:szCs w:val="24"/>
          <w:highlight w:val="none"/>
          <w:lang w:val="en-US" w:eastAsia="zh-CN"/>
        </w:rPr>
        <w:t>耐碱玻纤网格布生产工艺流程图</w:t>
      </w:r>
    </w:p>
    <w:p w14:paraId="736695D3">
      <w:pPr>
        <w:spacing w:line="360" w:lineRule="auto"/>
        <w:jc w:val="center"/>
        <w:rPr>
          <w:rFonts w:hint="eastAsia" w:ascii="Times New Roman" w:hAnsi="Times New Roman" w:cs="Times New Roman" w:eastAsiaTheme="minorEastAsia"/>
          <w:sz w:val="24"/>
          <w:szCs w:val="24"/>
          <w:lang w:eastAsia="zh-CN"/>
        </w:rPr>
      </w:pPr>
      <w:r>
        <w:rPr>
          <w:rFonts w:hint="eastAsia" w:ascii="Times New Roman" w:hAnsi="Times New Roman" w:cs="Times New Roman" w:eastAsiaTheme="minorEastAsia"/>
          <w:sz w:val="24"/>
          <w:szCs w:val="24"/>
          <w:lang w:eastAsia="zh-CN"/>
        </w:rPr>
        <w:drawing>
          <wp:inline distT="0" distB="0" distL="114300" distR="114300">
            <wp:extent cx="5469890" cy="1539875"/>
            <wp:effectExtent l="0" t="0" r="16510" b="3175"/>
            <wp:docPr id="24" name="图片 24" descr="工艺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工艺流程图"/>
                    <pic:cNvPicPr>
                      <a:picLocks noChangeAspect="1"/>
                    </pic:cNvPicPr>
                  </pic:nvPicPr>
                  <pic:blipFill>
                    <a:blip r:embed="rId16"/>
                    <a:stretch>
                      <a:fillRect/>
                    </a:stretch>
                  </pic:blipFill>
                  <pic:spPr>
                    <a:xfrm>
                      <a:off x="0" y="0"/>
                      <a:ext cx="5469890" cy="1539875"/>
                    </a:xfrm>
                    <a:prstGeom prst="rect">
                      <a:avLst/>
                    </a:prstGeom>
                  </pic:spPr>
                </pic:pic>
              </a:graphicData>
            </a:graphic>
          </wp:inline>
        </w:drawing>
      </w:r>
    </w:p>
    <w:p w14:paraId="24F7DA44">
      <w:pPr>
        <w:spacing w:line="360" w:lineRule="auto"/>
        <w:ind w:left="480"/>
        <w:jc w:val="center"/>
        <w:rPr>
          <w:rFonts w:hint="eastAsia" w:ascii="Times New Roman" w:hAnsi="Times New Roman" w:cs="Times New Roman"/>
          <w:b/>
          <w:bCs/>
          <w:sz w:val="24"/>
          <w:szCs w:val="24"/>
          <w:lang w:val="en-US" w:eastAsia="zh-CN"/>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ascii="Times New Roman" w:hAnsi="Times New Roman" w:cs="Times New Roman"/>
          <w:b/>
          <w:bCs/>
          <w:sz w:val="24"/>
          <w:szCs w:val="24"/>
        </w:rPr>
        <w:t xml:space="preserve">  </w:t>
      </w:r>
      <w:r>
        <w:rPr>
          <w:rFonts w:hint="eastAsia" w:ascii="Times New Roman" w:hAnsi="Times New Roman" w:cs="Times New Roman"/>
          <w:b/>
          <w:bCs/>
          <w:sz w:val="24"/>
          <w:szCs w:val="24"/>
          <w:lang w:val="en-US" w:eastAsia="zh-CN"/>
        </w:rPr>
        <w:t>本项目</w:t>
      </w:r>
      <w:r>
        <w:rPr>
          <w:rFonts w:hint="eastAsia" w:ascii="Times New Roman" w:hAnsi="Times New Roman" w:cs="Times New Roman"/>
          <w:b/>
          <w:bCs/>
          <w:sz w:val="24"/>
          <w:szCs w:val="24"/>
          <w:highlight w:val="none"/>
          <w:lang w:val="en-US" w:eastAsia="zh-CN"/>
        </w:rPr>
        <w:t>耐碱玻纤网格布</w:t>
      </w:r>
      <w:r>
        <w:rPr>
          <w:rFonts w:hint="eastAsia" w:ascii="Times New Roman" w:hAnsi="Times New Roman" w:cs="Times New Roman"/>
          <w:b/>
          <w:bCs/>
          <w:sz w:val="24"/>
          <w:szCs w:val="24"/>
          <w:lang w:val="en-US" w:eastAsia="zh-CN"/>
        </w:rPr>
        <w:t>生产工艺流程及产污节点</w:t>
      </w:r>
    </w:p>
    <w:p w14:paraId="2D21AA4F">
      <w:pPr>
        <w:spacing w:line="360" w:lineRule="auto"/>
        <w:ind w:firstLine="482" w:firstLineChars="200"/>
        <w:rPr>
          <w:rFonts w:hint="eastAsia" w:ascii="Times New Roman" w:hAnsi="Times New Roman" w:cs="Times New Roman"/>
          <w:b w:val="0"/>
          <w:bCs w:val="0"/>
          <w:sz w:val="24"/>
          <w:szCs w:val="24"/>
          <w:lang w:val="en-US" w:eastAsia="zh-CN"/>
        </w:rPr>
      </w:pPr>
      <w:r>
        <w:rPr>
          <w:rFonts w:hint="eastAsia" w:ascii="Times New Roman" w:hAnsi="Times New Roman" w:cs="Times New Roman"/>
          <w:b/>
          <w:bCs/>
          <w:sz w:val="24"/>
          <w:szCs w:val="24"/>
          <w:lang w:val="en-US" w:eastAsia="zh-CN"/>
        </w:rPr>
        <w:t>生产工艺流程简要说明：</w:t>
      </w:r>
    </w:p>
    <w:bookmarkEnd w:id="35"/>
    <w:p w14:paraId="06696E72">
      <w:pPr>
        <w:spacing w:line="360" w:lineRule="auto"/>
        <w:ind w:firstLine="480" w:firstLineChars="20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项目原料加捻纱首先经整经机整经，再经剑杆织机进行织造后，进入滚胶工序。项目滚胶在一体化滚胶机内完成，首先将不同稠度水性玻纤胶混合，置入滚胶机胶槽内。网格布经辊轴滚胶后，再经辊轴将网格布由下向上拉至烘干段，烘干采用一体化滚胶机配套生物质颗粒燃烧机燃烧烟气直接供热（温度控制160℃左右），烘干完成后，直接在滚胶机底部进行自动分切，最终再经塑封机包装后得到成品。</w:t>
      </w:r>
    </w:p>
    <w:p w14:paraId="296C76E6">
      <w:pPr>
        <w:spacing w:line="360" w:lineRule="auto"/>
        <w:ind w:firstLine="480" w:firstLineChars="200"/>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lang w:val="en-US" w:eastAsia="zh-CN"/>
        </w:rPr>
        <w:t>项目生产过程产生的边角料经打包机打包后，外售综合利用</w:t>
      </w:r>
      <w:r>
        <w:rPr>
          <w:rFonts w:ascii="Times New Roman" w:hAnsi="Times New Roman" w:cs="Times New Roman"/>
          <w:sz w:val="24"/>
          <w:szCs w:val="24"/>
        </w:rPr>
        <w:t>。</w:t>
      </w:r>
    </w:p>
    <w:p w14:paraId="41C01314">
      <w:pPr>
        <w:spacing w:line="360" w:lineRule="auto"/>
        <w:ind w:firstLine="482"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 生产工艺及产污环节</w:t>
      </w:r>
    </w:p>
    <w:p w14:paraId="60D150B3">
      <w:pPr>
        <w:pStyle w:val="10"/>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项目在生产运行中会产生废气、废水、噪声和固废，详见表3.6-1。</w:t>
      </w:r>
    </w:p>
    <w:p w14:paraId="3E61100B">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imes New Roman" w:hAnsi="Times New Roman" w:cs="Times New Roman"/>
          <w:b/>
          <w:bCs/>
          <w:kern w:val="2"/>
          <w:sz w:val="24"/>
          <w:szCs w:val="24"/>
          <w:highlight w:val="lightGray"/>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99"/>
        <w:tblW w:w="4907"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99"/>
        <w:gridCol w:w="1127"/>
        <w:gridCol w:w="1850"/>
        <w:gridCol w:w="2206"/>
        <w:gridCol w:w="3253"/>
      </w:tblGrid>
      <w:tr w14:paraId="6A3526C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454" w:hRule="atLeast"/>
          <w:tblHeader/>
          <w:jc w:val="center"/>
        </w:trPr>
        <w:tc>
          <w:tcPr>
            <w:tcW w:w="698" w:type="dxa"/>
            <w:vAlign w:val="center"/>
          </w:tcPr>
          <w:p w14:paraId="243D21CC">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类别</w:t>
            </w:r>
          </w:p>
        </w:tc>
        <w:tc>
          <w:tcPr>
            <w:tcW w:w="1126" w:type="dxa"/>
            <w:vAlign w:val="center"/>
          </w:tcPr>
          <w:p w14:paraId="78DA4B60">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编号</w:t>
            </w:r>
          </w:p>
        </w:tc>
        <w:tc>
          <w:tcPr>
            <w:tcW w:w="1848" w:type="dxa"/>
            <w:vAlign w:val="center"/>
          </w:tcPr>
          <w:p w14:paraId="32CCB9FD">
            <w:pPr>
              <w:spacing w:line="240" w:lineRule="auto"/>
              <w:jc w:val="center"/>
              <w:rPr>
                <w:rFonts w:hint="default" w:ascii="Times New Roman" w:hAnsi="Times New Roman" w:eastAsia="宋体" w:cs="Times New Roman"/>
                <w:b/>
                <w:bCs/>
                <w:sz w:val="21"/>
                <w:szCs w:val="21"/>
                <w:highlight w:val="none"/>
                <w:lang w:val="en-US"/>
              </w:rPr>
            </w:pPr>
            <w:r>
              <w:rPr>
                <w:rFonts w:hint="default" w:ascii="Times New Roman" w:hAnsi="Times New Roman" w:eastAsia="宋体" w:cs="Times New Roman"/>
                <w:b/>
                <w:bCs/>
                <w:sz w:val="21"/>
                <w:szCs w:val="21"/>
                <w:highlight w:val="none"/>
                <w:lang w:val="en-US" w:eastAsia="zh-CN"/>
              </w:rPr>
              <w:t>产生工序</w:t>
            </w:r>
          </w:p>
        </w:tc>
        <w:tc>
          <w:tcPr>
            <w:tcW w:w="2204" w:type="dxa"/>
            <w:vAlign w:val="center"/>
          </w:tcPr>
          <w:p w14:paraId="610307AD">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污染物</w:t>
            </w:r>
          </w:p>
        </w:tc>
        <w:tc>
          <w:tcPr>
            <w:tcW w:w="3250" w:type="dxa"/>
            <w:vAlign w:val="center"/>
          </w:tcPr>
          <w:p w14:paraId="241911EC">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主要污染因子</w:t>
            </w:r>
          </w:p>
        </w:tc>
      </w:tr>
      <w:tr w14:paraId="69A4739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restart"/>
            <w:shd w:val="clear" w:color="auto" w:fill="auto"/>
            <w:vAlign w:val="center"/>
          </w:tcPr>
          <w:p w14:paraId="47A03F44">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废水</w:t>
            </w:r>
          </w:p>
        </w:tc>
        <w:tc>
          <w:tcPr>
            <w:tcW w:w="1126" w:type="dxa"/>
            <w:shd w:val="clear" w:color="auto" w:fill="auto"/>
            <w:vAlign w:val="center"/>
          </w:tcPr>
          <w:p w14:paraId="2FA17B6B">
            <w:pPr>
              <w:adjustRightInd w:val="0"/>
              <w:snapToGrid w:val="0"/>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w:t>
            </w:r>
            <w:r>
              <w:rPr>
                <w:rFonts w:hint="default" w:ascii="Times New Roman" w:hAnsi="Times New Roman" w:eastAsia="宋体" w:cs="Times New Roman"/>
                <w:color w:val="auto"/>
                <w:sz w:val="21"/>
                <w:szCs w:val="21"/>
                <w:highlight w:val="none"/>
                <w:lang w:val="en-US" w:eastAsia="zh-CN"/>
              </w:rPr>
              <w:t>1</w:t>
            </w:r>
          </w:p>
        </w:tc>
        <w:tc>
          <w:tcPr>
            <w:tcW w:w="1848" w:type="dxa"/>
            <w:shd w:val="clear" w:color="auto" w:fill="auto"/>
            <w:vAlign w:val="center"/>
          </w:tcPr>
          <w:p w14:paraId="659DA55F">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废气处理</w:t>
            </w:r>
          </w:p>
        </w:tc>
        <w:tc>
          <w:tcPr>
            <w:tcW w:w="2204" w:type="dxa"/>
            <w:shd w:val="clear" w:color="auto" w:fill="auto"/>
            <w:vAlign w:val="center"/>
          </w:tcPr>
          <w:p w14:paraId="346FB8A0">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水喷淋除尘废水</w:t>
            </w:r>
          </w:p>
        </w:tc>
        <w:tc>
          <w:tcPr>
            <w:tcW w:w="3250" w:type="dxa"/>
            <w:shd w:val="clear" w:color="auto" w:fill="auto"/>
            <w:vAlign w:val="center"/>
          </w:tcPr>
          <w:p w14:paraId="69499696">
            <w:pPr>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szCs w:val="21"/>
                <w:lang w:val="en-US" w:eastAsia="zh-CN"/>
              </w:rPr>
              <w:t>SS</w:t>
            </w:r>
          </w:p>
        </w:tc>
      </w:tr>
      <w:tr w14:paraId="6AB3C4A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continue"/>
            <w:vAlign w:val="center"/>
          </w:tcPr>
          <w:p w14:paraId="1B12EA61">
            <w:pPr>
              <w:spacing w:line="240" w:lineRule="auto"/>
              <w:jc w:val="center"/>
              <w:rPr>
                <w:rFonts w:hint="default" w:ascii="Times New Roman" w:hAnsi="Times New Roman" w:eastAsia="宋体" w:cs="Times New Roman"/>
                <w:sz w:val="21"/>
                <w:szCs w:val="21"/>
                <w:highlight w:val="none"/>
                <w:lang w:val="en-US" w:eastAsia="zh-CN"/>
              </w:rPr>
            </w:pPr>
          </w:p>
        </w:tc>
        <w:tc>
          <w:tcPr>
            <w:tcW w:w="1126" w:type="dxa"/>
            <w:vAlign w:val="center"/>
          </w:tcPr>
          <w:p w14:paraId="14740B62">
            <w:pPr>
              <w:pStyle w:val="93"/>
              <w:widowControl w:val="0"/>
              <w:spacing w:before="24" w:after="24"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W2</w:t>
            </w:r>
          </w:p>
        </w:tc>
        <w:tc>
          <w:tcPr>
            <w:tcW w:w="1848" w:type="dxa"/>
            <w:shd w:val="clear" w:color="auto" w:fill="auto"/>
            <w:vAlign w:val="center"/>
          </w:tcPr>
          <w:p w14:paraId="4C39E8A1">
            <w:pPr>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szCs w:val="21"/>
                <w:lang w:val="en-US" w:eastAsia="zh-CN"/>
              </w:rPr>
              <w:t>职工生活</w:t>
            </w:r>
          </w:p>
        </w:tc>
        <w:tc>
          <w:tcPr>
            <w:tcW w:w="2204" w:type="dxa"/>
            <w:shd w:val="clear" w:color="auto" w:fill="auto"/>
            <w:vAlign w:val="center"/>
          </w:tcPr>
          <w:p w14:paraId="1ED49B8B">
            <w:pPr>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szCs w:val="21"/>
                <w:lang w:val="en-US" w:eastAsia="zh-CN"/>
              </w:rPr>
              <w:t>生活污水</w:t>
            </w:r>
          </w:p>
        </w:tc>
        <w:tc>
          <w:tcPr>
            <w:tcW w:w="3250" w:type="dxa"/>
            <w:shd w:val="clear" w:color="auto" w:fill="auto"/>
            <w:vAlign w:val="center"/>
          </w:tcPr>
          <w:p w14:paraId="69DCB646">
            <w:pPr>
              <w:jc w:val="center"/>
              <w:rPr>
                <w:rFonts w:hint="default" w:ascii="Times New Roman" w:hAnsi="Times New Roman" w:cs="Times New Roman" w:eastAsiaTheme="minorEastAsia"/>
                <w:color w:val="auto"/>
                <w:kern w:val="2"/>
                <w:sz w:val="21"/>
                <w:szCs w:val="21"/>
                <w:lang w:val="en-US" w:eastAsia="zh-CN" w:bidi="ar-SA"/>
              </w:rPr>
            </w:pPr>
            <w:r>
              <w:rPr>
                <w:rFonts w:ascii="Times New Roman" w:hAnsi="Times New Roman" w:cs="Times New Roman"/>
                <w:color w:val="auto"/>
                <w:szCs w:val="21"/>
              </w:rPr>
              <w:t>COD</w:t>
            </w:r>
            <w:r>
              <w:rPr>
                <w:rFonts w:ascii="Times New Roman" w:hAnsi="Times New Roman" w:cs="Times New Roman"/>
                <w:color w:val="auto"/>
                <w:szCs w:val="21"/>
                <w:vertAlign w:val="subscript"/>
              </w:rPr>
              <w:t>Cr</w:t>
            </w:r>
            <w:r>
              <w:rPr>
                <w:rFonts w:ascii="Times New Roman" w:hAnsi="Times New Roman" w:cs="Times New Roman"/>
                <w:color w:val="auto"/>
                <w:szCs w:val="21"/>
              </w:rPr>
              <w:t>、氨氮</w:t>
            </w:r>
          </w:p>
        </w:tc>
      </w:tr>
      <w:tr w14:paraId="179E4EF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restart"/>
            <w:vAlign w:val="center"/>
          </w:tcPr>
          <w:p w14:paraId="64B36C6C">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废气</w:t>
            </w:r>
          </w:p>
        </w:tc>
        <w:tc>
          <w:tcPr>
            <w:tcW w:w="1126" w:type="dxa"/>
            <w:vAlign w:val="center"/>
          </w:tcPr>
          <w:p w14:paraId="5D35A59B">
            <w:pPr>
              <w:pStyle w:val="93"/>
              <w:widowControl w:val="0"/>
              <w:spacing w:before="24" w:after="24" w:line="240" w:lineRule="auto"/>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rPr>
              <w:t>G</w:t>
            </w:r>
            <w:r>
              <w:rPr>
                <w:rFonts w:hint="default" w:ascii="Times New Roman" w:hAnsi="Times New Roman" w:eastAsia="宋体" w:cs="Times New Roman"/>
                <w:color w:val="auto"/>
                <w:sz w:val="21"/>
                <w:szCs w:val="21"/>
                <w:highlight w:val="none"/>
                <w:lang w:val="en-US" w:eastAsia="zh-CN"/>
              </w:rPr>
              <w:t>1</w:t>
            </w:r>
          </w:p>
        </w:tc>
        <w:tc>
          <w:tcPr>
            <w:tcW w:w="1848" w:type="dxa"/>
            <w:vAlign w:val="center"/>
          </w:tcPr>
          <w:p w14:paraId="30DC16D8">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织造</w:t>
            </w:r>
          </w:p>
        </w:tc>
        <w:tc>
          <w:tcPr>
            <w:tcW w:w="2204" w:type="dxa"/>
            <w:vAlign w:val="center"/>
          </w:tcPr>
          <w:p w14:paraId="2234DE7B">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织造纤尘</w:t>
            </w:r>
          </w:p>
        </w:tc>
        <w:tc>
          <w:tcPr>
            <w:tcW w:w="3250" w:type="dxa"/>
            <w:vAlign w:val="center"/>
          </w:tcPr>
          <w:p w14:paraId="2D5DA13F">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颗粒物</w:t>
            </w:r>
          </w:p>
        </w:tc>
      </w:tr>
      <w:tr w14:paraId="2286776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continue"/>
            <w:vAlign w:val="center"/>
          </w:tcPr>
          <w:p w14:paraId="7BA347F8">
            <w:pPr>
              <w:spacing w:line="240" w:lineRule="auto"/>
              <w:jc w:val="center"/>
              <w:rPr>
                <w:rFonts w:hint="default" w:ascii="Times New Roman" w:hAnsi="Times New Roman" w:eastAsia="宋体" w:cs="Times New Roman"/>
                <w:sz w:val="21"/>
                <w:szCs w:val="21"/>
                <w:highlight w:val="none"/>
                <w:lang w:val="en-US" w:eastAsia="zh-CN"/>
              </w:rPr>
            </w:pPr>
          </w:p>
        </w:tc>
        <w:tc>
          <w:tcPr>
            <w:tcW w:w="1126" w:type="dxa"/>
            <w:vAlign w:val="center"/>
          </w:tcPr>
          <w:p w14:paraId="5E6F8301">
            <w:pPr>
              <w:pStyle w:val="93"/>
              <w:widowControl w:val="0"/>
              <w:spacing w:before="24" w:after="24" w:line="240" w:lineRule="auto"/>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G2</w:t>
            </w:r>
          </w:p>
        </w:tc>
        <w:tc>
          <w:tcPr>
            <w:tcW w:w="1848" w:type="dxa"/>
            <w:vAlign w:val="center"/>
          </w:tcPr>
          <w:p w14:paraId="1E33F151">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滚胶、烘干</w:t>
            </w:r>
          </w:p>
        </w:tc>
        <w:tc>
          <w:tcPr>
            <w:tcW w:w="2204" w:type="dxa"/>
            <w:vAlign w:val="center"/>
          </w:tcPr>
          <w:p w14:paraId="665DD2D1">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有机废气</w:t>
            </w:r>
          </w:p>
        </w:tc>
        <w:tc>
          <w:tcPr>
            <w:tcW w:w="3250" w:type="dxa"/>
            <w:vAlign w:val="center"/>
          </w:tcPr>
          <w:p w14:paraId="7EC0A447">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非甲烷总烃</w:t>
            </w:r>
          </w:p>
        </w:tc>
      </w:tr>
      <w:tr w14:paraId="4672893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continue"/>
            <w:vAlign w:val="center"/>
          </w:tcPr>
          <w:p w14:paraId="31D06E6C">
            <w:pPr>
              <w:spacing w:line="240" w:lineRule="auto"/>
              <w:jc w:val="center"/>
              <w:rPr>
                <w:rFonts w:hint="default" w:ascii="Times New Roman" w:hAnsi="Times New Roman" w:eastAsia="宋体" w:cs="Times New Roman"/>
                <w:sz w:val="21"/>
                <w:szCs w:val="21"/>
                <w:highlight w:val="none"/>
                <w:lang w:val="en-US" w:eastAsia="zh-CN"/>
              </w:rPr>
            </w:pPr>
          </w:p>
        </w:tc>
        <w:tc>
          <w:tcPr>
            <w:tcW w:w="1126" w:type="dxa"/>
            <w:vAlign w:val="center"/>
          </w:tcPr>
          <w:p w14:paraId="6589464F">
            <w:pPr>
              <w:pStyle w:val="93"/>
              <w:widowControl w:val="0"/>
              <w:spacing w:before="24" w:after="24"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G3</w:t>
            </w:r>
          </w:p>
        </w:tc>
        <w:tc>
          <w:tcPr>
            <w:tcW w:w="1848" w:type="dxa"/>
            <w:vAlign w:val="center"/>
          </w:tcPr>
          <w:p w14:paraId="313A8FE1">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生物质燃烧</w:t>
            </w:r>
          </w:p>
        </w:tc>
        <w:tc>
          <w:tcPr>
            <w:tcW w:w="2204" w:type="dxa"/>
            <w:vAlign w:val="center"/>
          </w:tcPr>
          <w:p w14:paraId="56892AA6">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生物质燃烧废气</w:t>
            </w:r>
          </w:p>
        </w:tc>
        <w:tc>
          <w:tcPr>
            <w:tcW w:w="3250" w:type="dxa"/>
            <w:vAlign w:val="center"/>
          </w:tcPr>
          <w:p w14:paraId="57A71342">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颗粒物、NOx、SO</w:t>
            </w:r>
            <w:r>
              <w:rPr>
                <w:rFonts w:hint="eastAsia" w:ascii="Times New Roman" w:hAnsi="Times New Roman" w:cs="Times New Roman"/>
                <w:color w:val="auto"/>
                <w:szCs w:val="21"/>
                <w:vertAlign w:val="subscript"/>
                <w:lang w:val="en-US" w:eastAsia="zh-CN"/>
              </w:rPr>
              <w:t>2</w:t>
            </w:r>
          </w:p>
        </w:tc>
      </w:tr>
      <w:tr w14:paraId="00262B9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Align w:val="center"/>
          </w:tcPr>
          <w:p w14:paraId="44E3F4E5">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噪声</w:t>
            </w:r>
          </w:p>
        </w:tc>
        <w:tc>
          <w:tcPr>
            <w:tcW w:w="1126" w:type="dxa"/>
            <w:vAlign w:val="center"/>
          </w:tcPr>
          <w:p w14:paraId="0C6C3A41">
            <w:pPr>
              <w:adjustRightInd w:val="0"/>
              <w:snapToGrid w:val="0"/>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N</w:t>
            </w:r>
          </w:p>
        </w:tc>
        <w:tc>
          <w:tcPr>
            <w:tcW w:w="1848" w:type="dxa"/>
            <w:vAlign w:val="center"/>
          </w:tcPr>
          <w:p w14:paraId="5576ABC5">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Cs/>
                <w:color w:val="auto"/>
                <w:kern w:val="2"/>
                <w:sz w:val="21"/>
                <w:szCs w:val="21"/>
                <w:highlight w:val="none"/>
                <w:lang w:val="en-US" w:eastAsia="zh-CN" w:bidi="ar-SA"/>
              </w:rPr>
            </w:pPr>
            <w:r>
              <w:rPr>
                <w:rFonts w:hint="eastAsia" w:ascii="Times New Roman" w:hAnsi="Times New Roman" w:eastAsia="宋体" w:cs="Times New Roman"/>
                <w:color w:val="auto"/>
                <w:lang w:val="en-US" w:eastAsia="zh-CN"/>
              </w:rPr>
              <w:t>生产车间</w:t>
            </w:r>
          </w:p>
        </w:tc>
        <w:tc>
          <w:tcPr>
            <w:tcW w:w="2204" w:type="dxa"/>
            <w:vAlign w:val="center"/>
          </w:tcPr>
          <w:p w14:paraId="12382CA0">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bCs/>
                <w:color w:val="auto"/>
                <w:kern w:val="2"/>
                <w:sz w:val="21"/>
                <w:szCs w:val="21"/>
                <w:highlight w:val="none"/>
                <w:lang w:val="en-US" w:eastAsia="zh-CN" w:bidi="ar-SA"/>
              </w:rPr>
            </w:pPr>
            <w:r>
              <w:rPr>
                <w:rFonts w:hint="eastAsia" w:ascii="Times New Roman" w:hAnsi="Times New Roman" w:cs="Times New Roman"/>
                <w:color w:val="auto"/>
                <w:lang w:val="en-US" w:eastAsia="zh-CN"/>
              </w:rPr>
              <w:t>设备运行</w:t>
            </w:r>
            <w:r>
              <w:rPr>
                <w:rFonts w:ascii="Times New Roman" w:hAnsi="Times New Roman" w:cs="Times New Roman"/>
                <w:color w:val="auto"/>
              </w:rPr>
              <w:t>噪声</w:t>
            </w:r>
          </w:p>
        </w:tc>
        <w:tc>
          <w:tcPr>
            <w:tcW w:w="3250" w:type="dxa"/>
            <w:vAlign w:val="center"/>
          </w:tcPr>
          <w:p w14:paraId="47D44E81">
            <w:pPr>
              <w:pStyle w:val="93"/>
              <w:widowControl w:val="0"/>
              <w:spacing w:before="24" w:after="24" w:line="240" w:lineRule="auto"/>
              <w:jc w:val="center"/>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rPr>
              <w:t>等效声级（dB）</w:t>
            </w:r>
          </w:p>
        </w:tc>
      </w:tr>
      <w:tr w14:paraId="3AF70E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restart"/>
            <w:vAlign w:val="center"/>
          </w:tcPr>
          <w:p w14:paraId="612D3583">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固废</w:t>
            </w:r>
          </w:p>
        </w:tc>
        <w:tc>
          <w:tcPr>
            <w:tcW w:w="1126" w:type="dxa"/>
            <w:vAlign w:val="center"/>
          </w:tcPr>
          <w:p w14:paraId="3B77D883">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S1</w:t>
            </w:r>
          </w:p>
        </w:tc>
        <w:tc>
          <w:tcPr>
            <w:tcW w:w="1848" w:type="dxa"/>
            <w:vAlign w:val="center"/>
          </w:tcPr>
          <w:p w14:paraId="6D98990D">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整经、织造、分切</w:t>
            </w:r>
          </w:p>
        </w:tc>
        <w:tc>
          <w:tcPr>
            <w:tcW w:w="2204" w:type="dxa"/>
            <w:vAlign w:val="center"/>
          </w:tcPr>
          <w:p w14:paraId="16D8FA2D">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边角料和废纱</w:t>
            </w:r>
          </w:p>
        </w:tc>
        <w:tc>
          <w:tcPr>
            <w:tcW w:w="3250" w:type="dxa"/>
            <w:vAlign w:val="center"/>
          </w:tcPr>
          <w:p w14:paraId="407C2A74">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边角料和废纱</w:t>
            </w:r>
          </w:p>
        </w:tc>
      </w:tr>
      <w:tr w14:paraId="49A8E53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continue"/>
            <w:vAlign w:val="center"/>
          </w:tcPr>
          <w:p w14:paraId="7594ACDF">
            <w:pPr>
              <w:spacing w:line="240" w:lineRule="auto"/>
              <w:jc w:val="center"/>
              <w:rPr>
                <w:rFonts w:hint="default" w:ascii="Times New Roman" w:hAnsi="Times New Roman" w:eastAsia="宋体" w:cs="Times New Roman"/>
                <w:sz w:val="21"/>
                <w:szCs w:val="21"/>
                <w:highlight w:val="none"/>
              </w:rPr>
            </w:pPr>
          </w:p>
        </w:tc>
        <w:tc>
          <w:tcPr>
            <w:tcW w:w="1126" w:type="dxa"/>
            <w:vAlign w:val="center"/>
          </w:tcPr>
          <w:p w14:paraId="78127A22">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w:t>
            </w:r>
            <w:r>
              <w:rPr>
                <w:rFonts w:hint="default" w:ascii="Times New Roman" w:hAnsi="Times New Roman" w:eastAsia="宋体" w:cs="Times New Roman"/>
                <w:color w:val="auto"/>
                <w:sz w:val="21"/>
                <w:szCs w:val="21"/>
                <w:highlight w:val="none"/>
                <w:lang w:val="en-US" w:eastAsia="zh-CN"/>
              </w:rPr>
              <w:t>2</w:t>
            </w:r>
          </w:p>
        </w:tc>
        <w:tc>
          <w:tcPr>
            <w:tcW w:w="1848" w:type="dxa"/>
            <w:vAlign w:val="center"/>
          </w:tcPr>
          <w:p w14:paraId="053F899B">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包装</w:t>
            </w:r>
          </w:p>
        </w:tc>
        <w:tc>
          <w:tcPr>
            <w:tcW w:w="2204" w:type="dxa"/>
            <w:vAlign w:val="center"/>
          </w:tcPr>
          <w:p w14:paraId="0F6F61BD">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一般废包装材料</w:t>
            </w:r>
          </w:p>
        </w:tc>
        <w:tc>
          <w:tcPr>
            <w:tcW w:w="3250" w:type="dxa"/>
            <w:vAlign w:val="center"/>
          </w:tcPr>
          <w:p w14:paraId="4979E93C">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一般废包装材料</w:t>
            </w:r>
          </w:p>
        </w:tc>
      </w:tr>
      <w:tr w14:paraId="2C2CB6F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continue"/>
            <w:vAlign w:val="center"/>
          </w:tcPr>
          <w:p w14:paraId="3D8F0E59">
            <w:pPr>
              <w:spacing w:line="240" w:lineRule="auto"/>
              <w:jc w:val="center"/>
              <w:rPr>
                <w:rFonts w:hint="default" w:ascii="Times New Roman" w:hAnsi="Times New Roman" w:eastAsia="宋体" w:cs="Times New Roman"/>
                <w:sz w:val="21"/>
                <w:szCs w:val="21"/>
                <w:highlight w:val="none"/>
              </w:rPr>
            </w:pPr>
          </w:p>
        </w:tc>
        <w:tc>
          <w:tcPr>
            <w:tcW w:w="1126" w:type="dxa"/>
            <w:vAlign w:val="center"/>
          </w:tcPr>
          <w:p w14:paraId="4078A97D">
            <w:pPr>
              <w:spacing w:line="240" w:lineRule="auto"/>
              <w:jc w:val="center"/>
              <w:rPr>
                <w:rFonts w:hint="default" w:ascii="Times New Roman" w:hAnsi="Times New Roman" w:eastAsia="宋体" w:cs="Times New Roman"/>
                <w:color w:val="auto"/>
                <w:kern w:val="2"/>
                <w:sz w:val="21"/>
                <w:szCs w:val="21"/>
                <w:highlight w:val="yellow"/>
                <w:lang w:val="en-US" w:eastAsia="zh-CN" w:bidi="ar-SA"/>
              </w:rPr>
            </w:pPr>
            <w:r>
              <w:rPr>
                <w:rFonts w:hint="default" w:ascii="Times New Roman" w:hAnsi="Times New Roman" w:eastAsia="宋体" w:cs="Times New Roman"/>
                <w:color w:val="auto"/>
                <w:sz w:val="21"/>
                <w:szCs w:val="21"/>
                <w:highlight w:val="none"/>
              </w:rPr>
              <w:t>S</w:t>
            </w:r>
            <w:r>
              <w:rPr>
                <w:rFonts w:hint="default" w:ascii="Times New Roman" w:hAnsi="Times New Roman" w:eastAsia="宋体" w:cs="Times New Roman"/>
                <w:color w:val="auto"/>
                <w:sz w:val="21"/>
                <w:szCs w:val="21"/>
                <w:highlight w:val="none"/>
                <w:lang w:val="en-US" w:eastAsia="zh-CN"/>
              </w:rPr>
              <w:t>3</w:t>
            </w:r>
          </w:p>
        </w:tc>
        <w:tc>
          <w:tcPr>
            <w:tcW w:w="1848" w:type="dxa"/>
            <w:vAlign w:val="center"/>
          </w:tcPr>
          <w:p w14:paraId="4EC33262">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生物质燃烧</w:t>
            </w:r>
          </w:p>
        </w:tc>
        <w:tc>
          <w:tcPr>
            <w:tcW w:w="2204" w:type="dxa"/>
            <w:vAlign w:val="center"/>
          </w:tcPr>
          <w:p w14:paraId="793A8AFD">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灰渣</w:t>
            </w:r>
          </w:p>
        </w:tc>
        <w:tc>
          <w:tcPr>
            <w:tcW w:w="3250" w:type="dxa"/>
            <w:vAlign w:val="center"/>
          </w:tcPr>
          <w:p w14:paraId="717803C7">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灰渣</w:t>
            </w:r>
          </w:p>
        </w:tc>
      </w:tr>
      <w:tr w14:paraId="52A1B6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continue"/>
            <w:vAlign w:val="center"/>
          </w:tcPr>
          <w:p w14:paraId="3B13032E">
            <w:pPr>
              <w:spacing w:line="240" w:lineRule="auto"/>
              <w:jc w:val="center"/>
              <w:rPr>
                <w:rFonts w:hint="default" w:ascii="Times New Roman" w:hAnsi="Times New Roman" w:eastAsia="宋体" w:cs="Times New Roman"/>
                <w:sz w:val="21"/>
                <w:szCs w:val="21"/>
                <w:highlight w:val="none"/>
              </w:rPr>
            </w:pPr>
          </w:p>
        </w:tc>
        <w:tc>
          <w:tcPr>
            <w:tcW w:w="1126" w:type="dxa"/>
            <w:vAlign w:val="center"/>
          </w:tcPr>
          <w:p w14:paraId="7768FD52">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S4</w:t>
            </w:r>
          </w:p>
        </w:tc>
        <w:tc>
          <w:tcPr>
            <w:tcW w:w="1848" w:type="dxa"/>
            <w:vAlign w:val="center"/>
          </w:tcPr>
          <w:p w14:paraId="153A5B38">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废气处理</w:t>
            </w:r>
          </w:p>
        </w:tc>
        <w:tc>
          <w:tcPr>
            <w:tcW w:w="2204" w:type="dxa"/>
            <w:vAlign w:val="center"/>
          </w:tcPr>
          <w:p w14:paraId="63E91364">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泥渣</w:t>
            </w:r>
          </w:p>
        </w:tc>
        <w:tc>
          <w:tcPr>
            <w:tcW w:w="3250" w:type="dxa"/>
            <w:vAlign w:val="center"/>
          </w:tcPr>
          <w:p w14:paraId="62B27943">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泥渣</w:t>
            </w:r>
          </w:p>
        </w:tc>
      </w:tr>
      <w:tr w14:paraId="52A395A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continue"/>
            <w:vAlign w:val="center"/>
          </w:tcPr>
          <w:p w14:paraId="5C3749BC">
            <w:pPr>
              <w:spacing w:line="240" w:lineRule="auto"/>
              <w:jc w:val="center"/>
              <w:rPr>
                <w:rFonts w:hint="default" w:ascii="Times New Roman" w:hAnsi="Times New Roman" w:eastAsia="宋体" w:cs="Times New Roman"/>
                <w:sz w:val="21"/>
                <w:szCs w:val="21"/>
                <w:highlight w:val="none"/>
              </w:rPr>
            </w:pPr>
          </w:p>
        </w:tc>
        <w:tc>
          <w:tcPr>
            <w:tcW w:w="1126" w:type="dxa"/>
            <w:vAlign w:val="center"/>
          </w:tcPr>
          <w:p w14:paraId="0A5C3EA3">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S5</w:t>
            </w:r>
          </w:p>
        </w:tc>
        <w:tc>
          <w:tcPr>
            <w:tcW w:w="1848" w:type="dxa"/>
            <w:vAlign w:val="center"/>
          </w:tcPr>
          <w:p w14:paraId="447527E0">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机油使用</w:t>
            </w:r>
          </w:p>
        </w:tc>
        <w:tc>
          <w:tcPr>
            <w:tcW w:w="2204" w:type="dxa"/>
            <w:vAlign w:val="center"/>
          </w:tcPr>
          <w:p w14:paraId="009C2077">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废机油桶</w:t>
            </w:r>
          </w:p>
        </w:tc>
        <w:tc>
          <w:tcPr>
            <w:tcW w:w="3250" w:type="dxa"/>
            <w:vAlign w:val="center"/>
          </w:tcPr>
          <w:p w14:paraId="7704B5D6">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废机油桶</w:t>
            </w:r>
          </w:p>
        </w:tc>
      </w:tr>
      <w:tr w14:paraId="549FEE7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continue"/>
            <w:vAlign w:val="center"/>
          </w:tcPr>
          <w:p w14:paraId="3A9B670C">
            <w:pPr>
              <w:spacing w:line="240" w:lineRule="auto"/>
              <w:jc w:val="center"/>
              <w:rPr>
                <w:rFonts w:hint="default" w:ascii="Times New Roman" w:hAnsi="Times New Roman" w:eastAsia="宋体" w:cs="Times New Roman"/>
                <w:sz w:val="21"/>
                <w:szCs w:val="21"/>
                <w:highlight w:val="none"/>
              </w:rPr>
            </w:pPr>
          </w:p>
        </w:tc>
        <w:tc>
          <w:tcPr>
            <w:tcW w:w="1126" w:type="dxa"/>
            <w:vAlign w:val="center"/>
          </w:tcPr>
          <w:p w14:paraId="39E5BBFC">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S6</w:t>
            </w:r>
          </w:p>
        </w:tc>
        <w:tc>
          <w:tcPr>
            <w:tcW w:w="1848" w:type="dxa"/>
            <w:vAlign w:val="center"/>
          </w:tcPr>
          <w:p w14:paraId="2A6E6874">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废气处置</w:t>
            </w:r>
          </w:p>
        </w:tc>
        <w:tc>
          <w:tcPr>
            <w:tcW w:w="2204" w:type="dxa"/>
            <w:vAlign w:val="center"/>
          </w:tcPr>
          <w:p w14:paraId="3BF709A0">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废活性炭</w:t>
            </w:r>
          </w:p>
        </w:tc>
        <w:tc>
          <w:tcPr>
            <w:tcW w:w="3250" w:type="dxa"/>
            <w:vAlign w:val="center"/>
          </w:tcPr>
          <w:p w14:paraId="4149B56B">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废活性炭</w:t>
            </w:r>
          </w:p>
        </w:tc>
      </w:tr>
      <w:tr w14:paraId="7BD921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98" w:type="dxa"/>
            <w:vMerge w:val="continue"/>
            <w:vAlign w:val="center"/>
          </w:tcPr>
          <w:p w14:paraId="7DE5DADF">
            <w:pPr>
              <w:spacing w:line="240" w:lineRule="auto"/>
              <w:jc w:val="center"/>
              <w:rPr>
                <w:rFonts w:hint="default" w:ascii="Times New Roman" w:hAnsi="Times New Roman" w:eastAsia="宋体" w:cs="Times New Roman"/>
                <w:sz w:val="21"/>
                <w:szCs w:val="21"/>
                <w:highlight w:val="none"/>
              </w:rPr>
            </w:pPr>
          </w:p>
        </w:tc>
        <w:tc>
          <w:tcPr>
            <w:tcW w:w="1126" w:type="dxa"/>
            <w:vAlign w:val="center"/>
          </w:tcPr>
          <w:p w14:paraId="238BC7B1">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S7</w:t>
            </w:r>
          </w:p>
        </w:tc>
        <w:tc>
          <w:tcPr>
            <w:tcW w:w="1848" w:type="dxa"/>
            <w:vAlign w:val="center"/>
          </w:tcPr>
          <w:p w14:paraId="4B20A85C">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员工生活</w:t>
            </w:r>
          </w:p>
        </w:tc>
        <w:tc>
          <w:tcPr>
            <w:tcW w:w="2204" w:type="dxa"/>
            <w:vAlign w:val="center"/>
          </w:tcPr>
          <w:p w14:paraId="457B1A81">
            <w:pPr>
              <w:jc w:val="center"/>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生活垃圾</w:t>
            </w:r>
          </w:p>
        </w:tc>
        <w:tc>
          <w:tcPr>
            <w:tcW w:w="3250" w:type="dxa"/>
            <w:vAlign w:val="center"/>
          </w:tcPr>
          <w:p w14:paraId="2AF1AD4D">
            <w:pPr>
              <w:jc w:val="center"/>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生活垃圾</w:t>
            </w:r>
          </w:p>
        </w:tc>
      </w:tr>
    </w:tbl>
    <w:p w14:paraId="3B0DC252">
      <w:pPr>
        <w:pStyle w:val="2"/>
        <w:spacing w:beforeLines="0" w:afterLines="0" w:line="360" w:lineRule="auto"/>
        <w:ind w:firstLine="480" w:firstLineChars="200"/>
        <w:jc w:val="both"/>
        <w:rPr>
          <w:rFonts w:hint="default"/>
          <w:lang w:val="en-US" w:eastAsia="zh-CN"/>
        </w:rPr>
      </w:pPr>
      <w:r>
        <w:rPr>
          <w:rFonts w:hint="eastAsia" w:ascii="Times New Roman" w:hAnsi="Times New Roman" w:cs="Times New Roman" w:eastAsiaTheme="minorEastAsia"/>
          <w:b w:val="0"/>
          <w:bCs w:val="0"/>
          <w:spacing w:val="0"/>
          <w:kern w:val="2"/>
          <w:sz w:val="24"/>
          <w:szCs w:val="24"/>
          <w:lang w:val="en-US" w:eastAsia="zh-CN" w:bidi="ar-SA"/>
        </w:rPr>
        <w:t>根据现场核查，</w:t>
      </w:r>
      <w:r>
        <w:rPr>
          <w:rFonts w:hint="eastAsia" w:ascii="Times New Roman" w:hAnsi="Times New Roman" w:cs="Times New Roman" w:eastAsiaTheme="minorEastAsia"/>
          <w:b w:val="0"/>
          <w:bCs w:val="0"/>
          <w:color w:val="000000" w:themeColor="text1"/>
          <w:spacing w:val="0"/>
          <w:kern w:val="2"/>
          <w:sz w:val="24"/>
          <w:szCs w:val="24"/>
          <w:lang w:val="en-US" w:eastAsia="zh-CN" w:bidi="ar-SA"/>
          <w14:textFill>
            <w14:solidFill>
              <w14:schemeClr w14:val="tx1"/>
            </w14:solidFill>
          </w14:textFill>
        </w:rPr>
        <w:t>企业实际生产工艺及</w:t>
      </w:r>
      <w:r>
        <w:rPr>
          <w:rFonts w:hint="eastAsia" w:ascii="Times New Roman" w:hAnsi="Times New Roman" w:cs="Times New Roman" w:eastAsiaTheme="minorEastAsia"/>
          <w:b w:val="0"/>
          <w:bCs w:val="0"/>
          <w:color w:val="000000" w:themeColor="text1"/>
          <w:spacing w:val="0"/>
          <w:kern w:val="2"/>
          <w:sz w:val="24"/>
          <w:szCs w:val="24"/>
          <w:highlight w:val="none"/>
          <w:lang w:val="en-US" w:eastAsia="zh-CN" w:bidi="ar-SA"/>
          <w14:textFill>
            <w14:solidFill>
              <w14:schemeClr w14:val="tx1"/>
            </w14:solidFill>
          </w14:textFill>
        </w:rPr>
        <w:t>产污环节与环评一致。</w:t>
      </w:r>
    </w:p>
    <w:p w14:paraId="7927436C">
      <w:pPr>
        <w:pStyle w:val="10"/>
        <w:rPr>
          <w:rFonts w:hint="default"/>
          <w:lang w:val="en-US"/>
        </w:rPr>
        <w:sectPr>
          <w:footerReference r:id="rId7"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p>
    <w:p w14:paraId="1E15C891">
      <w:pPr>
        <w:pStyle w:val="5"/>
        <w:rPr>
          <w:rFonts w:asciiTheme="minorEastAsia" w:hAnsiTheme="minorEastAsia"/>
          <w:bCs w:val="0"/>
          <w:sz w:val="24"/>
          <w:szCs w:val="24"/>
          <w:lang w:bidi="zh-CN"/>
        </w:rPr>
      </w:pPr>
      <w:bookmarkStart w:id="36" w:name="_Toc28923"/>
      <w:r>
        <w:rPr>
          <w:rFonts w:eastAsia="宋体"/>
          <w:highlight w:val="none"/>
        </w:rPr>
        <w:t>3.7项目变动情况</w:t>
      </w:r>
      <w:bookmarkEnd w:id="36"/>
    </w:p>
    <w:p w14:paraId="4DA60B59">
      <w:pPr>
        <w:spacing w:line="360" w:lineRule="auto"/>
        <w:ind w:firstLine="480"/>
        <w:rPr>
          <w:rFonts w:ascii="Times New Roman" w:hAnsi="Times New Roman" w:cs="Times New Roman"/>
          <w:sz w:val="24"/>
          <w:szCs w:val="24"/>
        </w:rPr>
      </w:pPr>
      <w:r>
        <w:rPr>
          <w:rFonts w:ascii="Times New Roman" w:hAnsi="Times New Roman" w:cs="Times New Roman"/>
          <w:sz w:val="24"/>
          <w:szCs w:val="24"/>
        </w:rPr>
        <w:t>经</w:t>
      </w:r>
      <w:r>
        <w:rPr>
          <w:rFonts w:hint="eastAsia" w:ascii="Times New Roman" w:hAnsi="Times New Roman" w:cs="Times New Roman"/>
          <w:sz w:val="24"/>
          <w:szCs w:val="24"/>
          <w:lang w:val="en-US" w:eastAsia="zh-CN"/>
        </w:rPr>
        <w:t>本公司</w:t>
      </w:r>
      <w:r>
        <w:rPr>
          <w:rFonts w:ascii="Times New Roman" w:hAnsi="Times New Roman" w:cs="Times New Roman"/>
          <w:sz w:val="24"/>
          <w:szCs w:val="24"/>
        </w:rPr>
        <w:t>核实，</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14:paraId="733EE005">
      <w:pPr>
        <w:widowControl/>
        <w:adjustRightInd w:val="0"/>
        <w:snapToGrid w:val="0"/>
        <w:spacing w:line="360" w:lineRule="auto"/>
        <w:ind w:firstLine="422"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3"/>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14:paraId="3340CA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tblHeader/>
          <w:jc w:val="center"/>
        </w:trPr>
        <w:tc>
          <w:tcPr>
            <w:tcW w:w="870" w:type="dxa"/>
            <w:tcBorders>
              <w:tl2br w:val="nil"/>
              <w:tr2bl w:val="nil"/>
            </w:tcBorders>
            <w:vAlign w:val="center"/>
          </w:tcPr>
          <w:p w14:paraId="0B97E9E3">
            <w:pPr>
              <w:pStyle w:val="31"/>
              <w:ind w:left="0" w:leftChars="0" w:firstLine="0" w:firstLineChars="0"/>
              <w:jc w:val="center"/>
              <w:rPr>
                <w:rFonts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14:paraId="35F4B3E1">
            <w:pPr>
              <w:widowControl/>
              <w:jc w:val="center"/>
              <w:rPr>
                <w:rFonts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14:paraId="49000B89">
            <w:pPr>
              <w:widowControl/>
              <w:jc w:val="center"/>
              <w:rPr>
                <w:rFonts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14:paraId="7820295C">
            <w:pPr>
              <w:widowControl/>
              <w:jc w:val="center"/>
              <w:rPr>
                <w:rFonts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14:paraId="22645B83">
            <w:pPr>
              <w:widowControl/>
              <w:jc w:val="center"/>
              <w:rPr>
                <w:rFonts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14:paraId="13D305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870" w:type="dxa"/>
            <w:tcBorders>
              <w:tl2br w:val="nil"/>
              <w:tr2bl w:val="nil"/>
            </w:tcBorders>
            <w:vAlign w:val="center"/>
          </w:tcPr>
          <w:p w14:paraId="1AAFC365">
            <w:pPr>
              <w:spacing w:line="240" w:lineRule="auto"/>
              <w:jc w:val="center"/>
              <w:rPr>
                <w:rFonts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14:paraId="3D81AC41">
            <w:pPr>
              <w:spacing w:line="259" w:lineRule="auto"/>
              <w:jc w:val="left"/>
              <w:rPr>
                <w:rFonts w:ascii="Times New Roman" w:hAnsi="Times New Roman"/>
              </w:rPr>
            </w:pPr>
            <w:r>
              <w:rPr>
                <w:rFonts w:hint="eastAsia" w:ascii="Times New Roman" w:hAnsi="Times New Roman"/>
                <w:lang w:val="en-US" w:eastAsia="zh-CN"/>
              </w:rPr>
              <w:t>新建（迁建）</w:t>
            </w:r>
          </w:p>
        </w:tc>
        <w:tc>
          <w:tcPr>
            <w:tcW w:w="3378" w:type="dxa"/>
            <w:tcBorders>
              <w:tl2br w:val="nil"/>
              <w:tr2bl w:val="nil"/>
            </w:tcBorders>
            <w:vAlign w:val="center"/>
          </w:tcPr>
          <w:p w14:paraId="154958EB">
            <w:pPr>
              <w:spacing w:line="259" w:lineRule="auto"/>
              <w:jc w:val="left"/>
              <w:rPr>
                <w:rFonts w:ascii="Times New Roman" w:hAnsi="Times New Roman"/>
              </w:rPr>
            </w:pPr>
            <w:r>
              <w:rPr>
                <w:rFonts w:hint="eastAsia" w:ascii="Times New Roman" w:hAnsi="Times New Roman"/>
                <w:sz w:val="21"/>
                <w:szCs w:val="21"/>
              </w:rPr>
              <w:t>与环评一致</w:t>
            </w:r>
          </w:p>
        </w:tc>
        <w:tc>
          <w:tcPr>
            <w:tcW w:w="4584" w:type="dxa"/>
            <w:tcBorders>
              <w:tl2br w:val="nil"/>
              <w:tr2bl w:val="nil"/>
            </w:tcBorders>
            <w:vAlign w:val="center"/>
          </w:tcPr>
          <w:p w14:paraId="286E5DC2">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1、</w:t>
            </w:r>
            <w:r>
              <w:rPr>
                <w:rFonts w:ascii="Times New Roman" w:hAnsi="Times New Roman"/>
              </w:rPr>
              <w:t>建设项目开发、使用功能发生变化的</w:t>
            </w:r>
          </w:p>
        </w:tc>
        <w:tc>
          <w:tcPr>
            <w:tcW w:w="1868" w:type="dxa"/>
            <w:tcBorders>
              <w:tl2br w:val="nil"/>
              <w:tr2bl w:val="nil"/>
            </w:tcBorders>
            <w:vAlign w:val="center"/>
          </w:tcPr>
          <w:p w14:paraId="4530CE9D">
            <w:pPr>
              <w:spacing w:line="259" w:lineRule="auto"/>
              <w:jc w:val="center"/>
              <w:rPr>
                <w:rFonts w:ascii="Times New Roman" w:hAnsi="Times New Roman"/>
              </w:rPr>
            </w:pPr>
            <w:r>
              <w:rPr>
                <w:rFonts w:hint="eastAsia" w:ascii="Times New Roman" w:hAnsi="Times New Roman"/>
              </w:rPr>
              <w:t>否</w:t>
            </w:r>
          </w:p>
        </w:tc>
      </w:tr>
      <w:tr w14:paraId="418FAC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restart"/>
            <w:tcBorders>
              <w:tl2br w:val="nil"/>
              <w:tr2bl w:val="nil"/>
            </w:tcBorders>
            <w:vAlign w:val="center"/>
          </w:tcPr>
          <w:p w14:paraId="1242B372">
            <w:pPr>
              <w:spacing w:line="240" w:lineRule="auto"/>
              <w:jc w:val="center"/>
              <w:rPr>
                <w:rFonts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14:paraId="7F16F6B6">
            <w:pPr>
              <w:jc w:val="left"/>
              <w:rPr>
                <w:rFonts w:hint="default" w:ascii="Times New Roman" w:hAnsi="Times New Roman"/>
                <w:lang w:val="en-US"/>
              </w:rPr>
            </w:pPr>
            <w:r>
              <w:rPr>
                <w:rFonts w:hint="eastAsia" w:ascii="Times New Roman" w:hAnsi="Times New Roman" w:eastAsia="宋体" w:cs="Times New Roman"/>
                <w:snapToGrid w:val="0"/>
                <w:spacing w:val="-10"/>
                <w:kern w:val="24"/>
                <w:sz w:val="21"/>
                <w:szCs w:val="21"/>
                <w:lang w:val="en-US" w:eastAsia="zh-CN"/>
              </w:rPr>
              <w:t>年产10000万平方米耐碱玻纤网格布</w:t>
            </w:r>
          </w:p>
        </w:tc>
        <w:tc>
          <w:tcPr>
            <w:tcW w:w="3378" w:type="dxa"/>
            <w:vMerge w:val="restart"/>
            <w:tcBorders>
              <w:tl2br w:val="nil"/>
              <w:tr2bl w:val="nil"/>
            </w:tcBorders>
            <w:vAlign w:val="center"/>
          </w:tcPr>
          <w:p w14:paraId="437DFC33">
            <w:pPr>
              <w:jc w:val="left"/>
              <w:rPr>
                <w:rFonts w:hint="default" w:ascii="Times New Roman" w:hAnsi="Times New Roman"/>
                <w:lang w:val="en-US"/>
              </w:rPr>
            </w:pPr>
            <w:r>
              <w:rPr>
                <w:rFonts w:hint="eastAsia" w:ascii="Times New Roman" w:hAnsi="Times New Roman" w:eastAsia="宋体" w:cs="Times New Roman"/>
                <w:snapToGrid w:val="0"/>
                <w:spacing w:val="-10"/>
                <w:kern w:val="24"/>
                <w:sz w:val="21"/>
                <w:szCs w:val="21"/>
                <w:lang w:val="en-US" w:eastAsia="zh-CN"/>
              </w:rPr>
              <w:t>年产2000万平方米耐碱玻纤网格布</w:t>
            </w:r>
          </w:p>
        </w:tc>
        <w:tc>
          <w:tcPr>
            <w:tcW w:w="4584" w:type="dxa"/>
            <w:tcBorders>
              <w:tl2br w:val="nil"/>
              <w:tr2bl w:val="nil"/>
            </w:tcBorders>
            <w:vAlign w:val="center"/>
          </w:tcPr>
          <w:p w14:paraId="108C43A9">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2、</w:t>
            </w:r>
            <w:r>
              <w:rPr>
                <w:rFonts w:ascii="Times New Roman" w:hAnsi="Times New Roman"/>
              </w:rPr>
              <w:t>生产、处置或储存能力增大 30%及以上的</w:t>
            </w:r>
          </w:p>
        </w:tc>
        <w:tc>
          <w:tcPr>
            <w:tcW w:w="1868" w:type="dxa"/>
            <w:tcBorders>
              <w:tl2br w:val="nil"/>
              <w:tr2bl w:val="nil"/>
            </w:tcBorders>
            <w:vAlign w:val="center"/>
          </w:tcPr>
          <w:p w14:paraId="2D9F0B05">
            <w:pPr>
              <w:spacing w:line="259" w:lineRule="auto"/>
              <w:jc w:val="center"/>
              <w:rPr>
                <w:rFonts w:ascii="Times New Roman" w:hAnsi="Times New Roman"/>
              </w:rPr>
            </w:pPr>
            <w:r>
              <w:rPr>
                <w:rFonts w:hint="eastAsia" w:ascii="Times New Roman" w:hAnsi="Times New Roman"/>
              </w:rPr>
              <w:t>否</w:t>
            </w:r>
          </w:p>
        </w:tc>
      </w:tr>
      <w:tr w14:paraId="4564CC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0D3EE95F">
            <w:pPr>
              <w:spacing w:line="240" w:lineRule="auto"/>
              <w:jc w:val="center"/>
              <w:rPr>
                <w:rFonts w:ascii="Times New Roman" w:hAnsi="Times New Roman"/>
              </w:rPr>
            </w:pPr>
          </w:p>
        </w:tc>
        <w:tc>
          <w:tcPr>
            <w:tcW w:w="3377" w:type="dxa"/>
            <w:vMerge w:val="continue"/>
            <w:tcBorders>
              <w:tl2br w:val="nil"/>
              <w:tr2bl w:val="nil"/>
            </w:tcBorders>
            <w:vAlign w:val="center"/>
          </w:tcPr>
          <w:p w14:paraId="359C9C27">
            <w:pPr>
              <w:spacing w:line="240" w:lineRule="auto"/>
              <w:jc w:val="left"/>
              <w:rPr>
                <w:rFonts w:ascii="Times New Roman" w:hAnsi="Times New Roman"/>
              </w:rPr>
            </w:pPr>
          </w:p>
        </w:tc>
        <w:tc>
          <w:tcPr>
            <w:tcW w:w="3378" w:type="dxa"/>
            <w:vMerge w:val="continue"/>
            <w:tcBorders>
              <w:tl2br w:val="nil"/>
              <w:tr2bl w:val="nil"/>
            </w:tcBorders>
            <w:vAlign w:val="center"/>
          </w:tcPr>
          <w:p w14:paraId="1B281670">
            <w:pPr>
              <w:spacing w:line="240" w:lineRule="auto"/>
              <w:jc w:val="left"/>
              <w:rPr>
                <w:rFonts w:ascii="Times New Roman" w:hAnsi="Times New Roman"/>
              </w:rPr>
            </w:pPr>
          </w:p>
        </w:tc>
        <w:tc>
          <w:tcPr>
            <w:tcW w:w="4584" w:type="dxa"/>
            <w:tcBorders>
              <w:tl2br w:val="nil"/>
              <w:tr2bl w:val="nil"/>
            </w:tcBorders>
            <w:vAlign w:val="center"/>
          </w:tcPr>
          <w:p w14:paraId="55547D98">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14:paraId="14B37C09">
            <w:pPr>
              <w:spacing w:line="259" w:lineRule="auto"/>
              <w:jc w:val="center"/>
              <w:rPr>
                <w:rFonts w:ascii="Times New Roman" w:hAnsi="Times New Roman"/>
              </w:rPr>
            </w:pPr>
            <w:r>
              <w:rPr>
                <w:rFonts w:hint="eastAsia" w:ascii="Times New Roman" w:hAnsi="Times New Roman"/>
              </w:rPr>
              <w:t>否</w:t>
            </w:r>
          </w:p>
        </w:tc>
      </w:tr>
      <w:tr w14:paraId="6229A0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870" w:type="dxa"/>
            <w:vMerge w:val="continue"/>
            <w:tcBorders>
              <w:tl2br w:val="nil"/>
              <w:tr2bl w:val="nil"/>
            </w:tcBorders>
            <w:vAlign w:val="center"/>
          </w:tcPr>
          <w:p w14:paraId="335980E8">
            <w:pPr>
              <w:spacing w:line="240" w:lineRule="auto"/>
              <w:jc w:val="center"/>
              <w:rPr>
                <w:rFonts w:ascii="Times New Roman" w:hAnsi="Times New Roman"/>
              </w:rPr>
            </w:pPr>
          </w:p>
        </w:tc>
        <w:tc>
          <w:tcPr>
            <w:tcW w:w="3377" w:type="dxa"/>
            <w:vMerge w:val="continue"/>
            <w:tcBorders>
              <w:tl2br w:val="nil"/>
              <w:tr2bl w:val="nil"/>
            </w:tcBorders>
            <w:vAlign w:val="center"/>
          </w:tcPr>
          <w:p w14:paraId="5D7BF73D">
            <w:pPr>
              <w:spacing w:line="240" w:lineRule="auto"/>
              <w:jc w:val="left"/>
              <w:rPr>
                <w:rFonts w:ascii="Times New Roman" w:hAnsi="Times New Roman"/>
              </w:rPr>
            </w:pPr>
          </w:p>
        </w:tc>
        <w:tc>
          <w:tcPr>
            <w:tcW w:w="3378" w:type="dxa"/>
            <w:vMerge w:val="continue"/>
            <w:tcBorders>
              <w:tl2br w:val="nil"/>
              <w:tr2bl w:val="nil"/>
            </w:tcBorders>
            <w:vAlign w:val="center"/>
          </w:tcPr>
          <w:p w14:paraId="2B5E54D7">
            <w:pPr>
              <w:spacing w:line="240" w:lineRule="auto"/>
              <w:jc w:val="left"/>
              <w:rPr>
                <w:rFonts w:ascii="Times New Roman" w:hAnsi="Times New Roman"/>
              </w:rPr>
            </w:pPr>
          </w:p>
        </w:tc>
        <w:tc>
          <w:tcPr>
            <w:tcW w:w="4584" w:type="dxa"/>
            <w:tcBorders>
              <w:tl2br w:val="nil"/>
              <w:tr2bl w:val="nil"/>
            </w:tcBorders>
            <w:vAlign w:val="center"/>
          </w:tcPr>
          <w:p w14:paraId="6B6EEEEE">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14:paraId="5DF027A6">
            <w:pPr>
              <w:spacing w:line="259" w:lineRule="auto"/>
              <w:jc w:val="center"/>
              <w:rPr>
                <w:rFonts w:ascii="Times New Roman" w:hAnsi="Times New Roman"/>
              </w:rPr>
            </w:pPr>
            <w:r>
              <w:rPr>
                <w:rFonts w:hint="eastAsia" w:ascii="Times New Roman" w:hAnsi="Times New Roman"/>
              </w:rPr>
              <w:t>否</w:t>
            </w:r>
          </w:p>
        </w:tc>
      </w:tr>
      <w:tr w14:paraId="57E6B6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tcBorders>
              <w:tl2br w:val="nil"/>
              <w:tr2bl w:val="nil"/>
            </w:tcBorders>
            <w:vAlign w:val="center"/>
          </w:tcPr>
          <w:p w14:paraId="4EB441D5">
            <w:pPr>
              <w:spacing w:line="259" w:lineRule="auto"/>
              <w:jc w:val="center"/>
              <w:rPr>
                <w:rFonts w:ascii="Times New Roman" w:hAnsi="Times New Roman"/>
              </w:rPr>
            </w:pPr>
            <w:r>
              <w:rPr>
                <w:rFonts w:hint="eastAsia" w:ascii="Times New Roman" w:hAnsi="Times New Roman"/>
              </w:rPr>
              <w:t>地点</w:t>
            </w:r>
          </w:p>
        </w:tc>
        <w:tc>
          <w:tcPr>
            <w:tcW w:w="3377" w:type="dxa"/>
            <w:tcBorders>
              <w:tl2br w:val="nil"/>
              <w:tr2bl w:val="nil"/>
            </w:tcBorders>
            <w:vAlign w:val="center"/>
          </w:tcPr>
          <w:p w14:paraId="65239FA4">
            <w:pPr>
              <w:spacing w:line="240" w:lineRule="auto"/>
              <w:jc w:val="left"/>
              <w:rPr>
                <w:rFonts w:hint="default" w:ascii="Times New Roman" w:hAnsi="Times New Roman" w:eastAsiaTheme="minorEastAsia"/>
                <w:lang w:val="en-US" w:eastAsia="zh-CN"/>
              </w:rPr>
            </w:pPr>
            <w:r>
              <w:rPr>
                <w:rFonts w:hint="eastAsia" w:ascii="Times New Roman" w:hAnsi="Times New Roman"/>
                <w:lang w:val="en-US" w:eastAsia="zh-CN"/>
              </w:rPr>
              <w:t>浙江省金华市磐安县尖山镇塑料产业园一街96号</w:t>
            </w:r>
          </w:p>
        </w:tc>
        <w:tc>
          <w:tcPr>
            <w:tcW w:w="3378" w:type="dxa"/>
            <w:tcBorders>
              <w:tl2br w:val="nil"/>
              <w:tr2bl w:val="nil"/>
            </w:tcBorders>
            <w:vAlign w:val="center"/>
          </w:tcPr>
          <w:p w14:paraId="3AF125D0">
            <w:pPr>
              <w:spacing w:line="240" w:lineRule="auto"/>
              <w:jc w:val="left"/>
              <w:rPr>
                <w:rFonts w:hint="default" w:ascii="Times New Roman" w:hAnsi="Times New Roman"/>
                <w:lang w:val="en-US"/>
              </w:rPr>
            </w:pPr>
            <w:r>
              <w:rPr>
                <w:rFonts w:hint="eastAsia" w:ascii="Times New Roman" w:hAnsi="Times New Roman"/>
                <w:sz w:val="21"/>
                <w:szCs w:val="21"/>
                <w:lang w:val="en-US" w:eastAsia="zh-CN"/>
              </w:rPr>
              <w:t>浙江省金华市磐安县尖山镇塑料产业园一街96号</w:t>
            </w:r>
          </w:p>
        </w:tc>
        <w:tc>
          <w:tcPr>
            <w:tcW w:w="4584" w:type="dxa"/>
            <w:tcBorders>
              <w:tl2br w:val="nil"/>
              <w:tr2bl w:val="nil"/>
            </w:tcBorders>
            <w:vAlign w:val="center"/>
          </w:tcPr>
          <w:p w14:paraId="15C3B936">
            <w:pPr>
              <w:spacing w:line="240" w:lineRule="auto"/>
              <w:jc w:val="left"/>
              <w:rPr>
                <w:rFonts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、重新选址；在原厂址附近调整（包括总平面布置变化）导致环境防护距离范围变化且新增敏感点的</w:t>
            </w:r>
          </w:p>
        </w:tc>
        <w:tc>
          <w:tcPr>
            <w:tcW w:w="1868" w:type="dxa"/>
            <w:tcBorders>
              <w:tl2br w:val="nil"/>
              <w:tr2bl w:val="nil"/>
            </w:tcBorders>
            <w:vAlign w:val="center"/>
          </w:tcPr>
          <w:p w14:paraId="4B4E7FDA">
            <w:pPr>
              <w:spacing w:line="259" w:lineRule="auto"/>
              <w:jc w:val="center"/>
              <w:rPr>
                <w:rFonts w:ascii="Times New Roman" w:hAnsi="Times New Roman"/>
              </w:rPr>
            </w:pPr>
            <w:r>
              <w:rPr>
                <w:rFonts w:hint="eastAsia" w:ascii="Times New Roman" w:hAnsi="Times New Roman"/>
              </w:rPr>
              <w:t>否</w:t>
            </w:r>
          </w:p>
        </w:tc>
      </w:tr>
      <w:tr w14:paraId="6FFF3F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1" w:hRule="atLeast"/>
          <w:jc w:val="center"/>
        </w:trPr>
        <w:tc>
          <w:tcPr>
            <w:tcW w:w="870" w:type="dxa"/>
            <w:tcBorders>
              <w:tl2br w:val="nil"/>
              <w:tr2bl w:val="nil"/>
            </w:tcBorders>
            <w:vAlign w:val="center"/>
          </w:tcPr>
          <w:p w14:paraId="24E8778F">
            <w:pPr>
              <w:spacing w:line="259" w:lineRule="auto"/>
              <w:jc w:val="center"/>
              <w:rPr>
                <w:rFonts w:ascii="Times New Roman" w:hAnsi="Times New Roman"/>
              </w:rPr>
            </w:pPr>
            <w:r>
              <w:rPr>
                <w:rFonts w:hint="eastAsia" w:ascii="Times New Roman" w:hAnsi="Times New Roman"/>
              </w:rPr>
              <w:t>生产工艺</w:t>
            </w:r>
          </w:p>
        </w:tc>
        <w:tc>
          <w:tcPr>
            <w:tcW w:w="3377" w:type="dxa"/>
            <w:tcBorders>
              <w:tl2br w:val="nil"/>
              <w:tr2bl w:val="nil"/>
            </w:tcBorders>
            <w:vAlign w:val="center"/>
          </w:tcPr>
          <w:p w14:paraId="7F2375AA">
            <w:pPr>
              <w:keepNext w:val="0"/>
              <w:keepLines w:val="0"/>
              <w:widowControl/>
              <w:suppressLineNumbers w:val="0"/>
              <w:spacing w:line="240" w:lineRule="auto"/>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生产工艺：</w:t>
            </w:r>
          </w:p>
          <w:p w14:paraId="75336E50">
            <w:pPr>
              <w:keepNext w:val="0"/>
              <w:keepLines w:val="0"/>
              <w:widowControl/>
              <w:suppressLineNumbers w:val="0"/>
              <w:spacing w:line="240" w:lineRule="auto"/>
              <w:jc w:val="left"/>
              <w:rPr>
                <w:rFonts w:hint="eastAsia" w:ascii="Times New Roman" w:hAnsi="Times New Roman" w:eastAsia="宋体" w:cs="Times New Roman"/>
                <w:b w:val="0"/>
                <w:bCs w:val="0"/>
                <w:color w:val="000000"/>
                <w:kern w:val="0"/>
                <w:sz w:val="21"/>
                <w:szCs w:val="21"/>
                <w:highlight w:val="none"/>
                <w:lang w:val="en-US" w:eastAsia="zh-CN" w:bidi="ar"/>
              </w:rPr>
            </w:pPr>
            <w:r>
              <w:rPr>
                <w:rFonts w:hint="eastAsia" w:ascii="Times New Roman" w:hAnsi="Times New Roman"/>
                <w:b w:val="0"/>
                <w:bCs w:val="0"/>
                <w:highlight w:val="none"/>
                <w:lang w:val="en-US" w:eastAsia="zh-CN"/>
              </w:rPr>
              <w:t>加捻纱</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整经</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织造</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滚胶</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烘干</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分切</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包装</w:t>
            </w:r>
            <w:r>
              <w:rPr>
                <w:rFonts w:hint="default" w:ascii="Times New Roman" w:hAnsi="Times New Roman" w:eastAsia="宋体" w:cs="Times New Roman"/>
                <w:b w:val="0"/>
                <w:bCs w:val="0"/>
                <w:color w:val="000000"/>
                <w:kern w:val="0"/>
                <w:sz w:val="21"/>
                <w:szCs w:val="21"/>
                <w:highlight w:val="none"/>
                <w:lang w:val="en-US" w:eastAsia="zh-CN" w:bidi="ar"/>
              </w:rPr>
              <w:t>→</w:t>
            </w:r>
            <w:r>
              <w:rPr>
                <w:rFonts w:hint="eastAsia" w:ascii="Times New Roman" w:hAnsi="Times New Roman" w:eastAsia="宋体" w:cs="Times New Roman"/>
                <w:b w:val="0"/>
                <w:bCs w:val="0"/>
                <w:color w:val="000000"/>
                <w:kern w:val="0"/>
                <w:sz w:val="21"/>
                <w:szCs w:val="21"/>
                <w:highlight w:val="none"/>
                <w:lang w:val="en-US" w:eastAsia="zh-CN" w:bidi="ar"/>
              </w:rPr>
              <w:t>成品；</w:t>
            </w:r>
          </w:p>
          <w:p w14:paraId="16E4C9AC">
            <w:pPr>
              <w:spacing w:line="259" w:lineRule="auto"/>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 3.3-1；</w:t>
            </w:r>
          </w:p>
          <w:p w14:paraId="07ECF16A">
            <w:pPr>
              <w:spacing w:line="259" w:lineRule="auto"/>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14:paraId="2CB2E6CF">
            <w:pPr>
              <w:keepNext w:val="0"/>
              <w:keepLines w:val="0"/>
              <w:widowControl/>
              <w:suppressLineNumbers w:val="0"/>
              <w:spacing w:line="240" w:lineRule="auto"/>
              <w:jc w:val="left"/>
              <w:rPr>
                <w:rFonts w:hint="eastAsia" w:ascii="Times New Roman" w:hAnsi="Times New Roman"/>
                <w:b w:val="0"/>
                <w:bCs w:val="0"/>
                <w:highlight w:val="none"/>
                <w:lang w:val="en-US" w:eastAsia="zh-CN"/>
              </w:rPr>
            </w:pPr>
            <w:r>
              <w:rPr>
                <w:rFonts w:hint="eastAsia" w:ascii="Times New Roman" w:hAnsi="Times New Roman"/>
                <w:b/>
                <w:bCs/>
                <w:highlight w:val="none"/>
                <w:lang w:val="en-US" w:eastAsia="zh-CN"/>
              </w:rPr>
              <w:t>生产工艺与环评一致</w:t>
            </w:r>
            <w:r>
              <w:rPr>
                <w:rFonts w:hint="eastAsia" w:ascii="Times New Roman" w:hAnsi="Times New Roman" w:eastAsia="宋体" w:cs="Times New Roman"/>
                <w:b/>
                <w:bCs/>
                <w:color w:val="000000"/>
                <w:kern w:val="0"/>
                <w:sz w:val="21"/>
                <w:szCs w:val="21"/>
                <w:highlight w:val="none"/>
                <w:lang w:val="en-US" w:eastAsia="zh-CN" w:bidi="ar"/>
              </w:rPr>
              <w:t>；</w:t>
            </w:r>
          </w:p>
          <w:p w14:paraId="19E7A8F9">
            <w:pPr>
              <w:spacing w:line="240" w:lineRule="auto"/>
              <w:jc w:val="left"/>
              <w:rPr>
                <w:rFonts w:hint="default" w:ascii="Times New Roman" w:hAnsi="Times New Roman"/>
                <w:b w:val="0"/>
                <w:bCs w:val="0"/>
                <w:highlight w:val="none"/>
                <w:lang w:val="en-US" w:eastAsia="zh-CN"/>
              </w:rPr>
            </w:pPr>
            <w:r>
              <w:rPr>
                <w:rFonts w:hint="eastAsia" w:ascii="Times New Roman" w:hAnsi="Times New Roman"/>
                <w:b/>
                <w:bCs/>
                <w:highlight w:val="none"/>
                <w:lang w:val="en-US" w:eastAsia="zh-CN"/>
              </w:rPr>
              <w:t>原辅材料种类与环评一致，</w:t>
            </w:r>
            <w:r>
              <w:rPr>
                <w:rFonts w:hint="default" w:ascii="Times New Roman" w:hAnsi="Times New Roman"/>
                <w:b w:val="0"/>
                <w:bCs w:val="0"/>
                <w:highlight w:val="none"/>
                <w:lang w:val="en-US" w:eastAsia="zh-CN"/>
              </w:rPr>
              <w:t>现有实际生产过程中原辅料种类与环评一致，各原辅材料用量与企业现实际产能相匹配</w:t>
            </w:r>
            <w:r>
              <w:rPr>
                <w:rFonts w:hint="eastAsia" w:ascii="Times New Roman" w:hAnsi="Times New Roman"/>
                <w:b w:val="0"/>
                <w:bCs w:val="0"/>
                <w:highlight w:val="none"/>
                <w:lang w:val="en-US" w:eastAsia="zh-CN"/>
              </w:rPr>
              <w:t>；</w:t>
            </w:r>
          </w:p>
          <w:p w14:paraId="2BA33FCC">
            <w:pPr>
              <w:spacing w:line="240" w:lineRule="auto"/>
              <w:jc w:val="left"/>
              <w:rPr>
                <w:rFonts w:hint="default"/>
                <w:lang w:val="en-US" w:eastAsia="zh-CN"/>
              </w:rPr>
            </w:pPr>
            <w:r>
              <w:rPr>
                <w:rFonts w:hint="eastAsia" w:ascii="Times New Roman" w:hAnsi="Times New Roman"/>
                <w:b/>
                <w:bCs/>
                <w:sz w:val="21"/>
                <w:szCs w:val="21"/>
                <w:highlight w:val="none"/>
                <w:lang w:val="en-US" w:eastAsia="zh-CN"/>
              </w:rPr>
              <w:t>主要生产设备种类与环评一致，</w:t>
            </w:r>
            <w:r>
              <w:rPr>
                <w:rFonts w:hint="eastAsia" w:ascii="Times New Roman" w:hAnsi="Times New Roman"/>
                <w:b w:val="0"/>
                <w:bCs w:val="0"/>
                <w:highlight w:val="none"/>
                <w:lang w:val="en-US" w:eastAsia="zh-CN"/>
              </w:rPr>
              <w:t>整经机减少12台、剑杆织机减少34台、一体化滚胶机（含燃烧机）减少17台、塑封机减少17台、打包机减少2台，符合现有产能，本次验收为先行验收，验收范围为“年产2000万平方米耐碱玻纤网格布”。</w:t>
            </w:r>
          </w:p>
        </w:tc>
        <w:tc>
          <w:tcPr>
            <w:tcW w:w="4584" w:type="dxa"/>
            <w:tcBorders>
              <w:tl2br w:val="nil"/>
              <w:tr2bl w:val="nil"/>
            </w:tcBorders>
            <w:vAlign w:val="center"/>
          </w:tcPr>
          <w:p w14:paraId="3C21D8EB">
            <w:pPr>
              <w:spacing w:line="240" w:lineRule="auto"/>
              <w:jc w:val="left"/>
              <w:rPr>
                <w:rFonts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14:paraId="1786743C">
            <w:pPr>
              <w:spacing w:line="240" w:lineRule="auto"/>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14:paraId="6E0817AE">
            <w:pPr>
              <w:spacing w:line="240"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 装置、设备及配套设施）、主要原辅材料、燃料变化，导致位于环境质量不达标区的建设项目相应污染物排放量增加的</w:t>
            </w:r>
          </w:p>
          <w:p w14:paraId="21C35590">
            <w:pPr>
              <w:spacing w:line="240" w:lineRule="auto"/>
              <w:jc w:val="left"/>
              <w:rPr>
                <w:rFonts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14:paraId="099F7FA7">
            <w:pPr>
              <w:spacing w:line="240" w:lineRule="auto"/>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68" w:type="dxa"/>
            <w:tcBorders>
              <w:tl2br w:val="nil"/>
              <w:tr2bl w:val="nil"/>
            </w:tcBorders>
            <w:vAlign w:val="center"/>
          </w:tcPr>
          <w:p w14:paraId="498482F4">
            <w:pPr>
              <w:spacing w:line="259" w:lineRule="auto"/>
              <w:jc w:val="center"/>
              <w:rPr>
                <w:rFonts w:ascii="Times New Roman" w:hAnsi="Times New Roman"/>
              </w:rPr>
            </w:pPr>
            <w:r>
              <w:rPr>
                <w:rFonts w:hint="eastAsia" w:ascii="Times New Roman" w:hAnsi="Times New Roman"/>
              </w:rPr>
              <w:t>否</w:t>
            </w:r>
          </w:p>
        </w:tc>
      </w:tr>
      <w:tr w14:paraId="18CC2D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restart"/>
            <w:tcBorders>
              <w:tl2br w:val="nil"/>
              <w:tr2bl w:val="nil"/>
            </w:tcBorders>
            <w:vAlign w:val="center"/>
          </w:tcPr>
          <w:p w14:paraId="3822C3F5">
            <w:pPr>
              <w:spacing w:line="259" w:lineRule="auto"/>
              <w:jc w:val="center"/>
              <w:rPr>
                <w:rFonts w:ascii="Times New Roman" w:hAnsi="Times New Roman"/>
              </w:rPr>
            </w:pPr>
            <w:r>
              <w:rPr>
                <w:rFonts w:hint="eastAsia" w:ascii="Times New Roman" w:hAnsi="Times New Roman"/>
              </w:rPr>
              <w:t>环境保护设施</w:t>
            </w:r>
          </w:p>
        </w:tc>
        <w:tc>
          <w:tcPr>
            <w:tcW w:w="3377" w:type="dxa"/>
            <w:vMerge w:val="restart"/>
            <w:tcBorders>
              <w:tl2br w:val="nil"/>
              <w:tr2bl w:val="nil"/>
            </w:tcBorders>
            <w:vAlign w:val="center"/>
          </w:tcPr>
          <w:p w14:paraId="7F71EE3E">
            <w:pPr>
              <w:spacing w:line="259" w:lineRule="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废水方面：</w:t>
            </w:r>
          </w:p>
          <w:p w14:paraId="406B3E13">
            <w:pPr>
              <w:spacing w:line="259"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lang w:val="en-US" w:eastAsia="zh-CN" w:bidi="ar-SA"/>
              </w:rPr>
              <w:t>废气处理水喷淋废水定期清渣，循环使用，根据损耗补充，不外排；职工生活污水经化粪池处理达标后纳入磐安县尖山污水处理厂处理达标后排放</w:t>
            </w:r>
            <w:r>
              <w:rPr>
                <w:rFonts w:hint="eastAsia" w:ascii="Times New Roman" w:hAnsi="Times New Roman" w:eastAsia="宋体" w:cs="Times New Roman"/>
                <w:sz w:val="21"/>
                <w:szCs w:val="21"/>
                <w:lang w:val="en-US" w:eastAsia="zh-CN"/>
              </w:rPr>
              <w:t>。</w:t>
            </w:r>
          </w:p>
          <w:p w14:paraId="176865DF">
            <w:pPr>
              <w:spacing w:line="259" w:lineRule="auto"/>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废气方面：</w:t>
            </w:r>
          </w:p>
          <w:p w14:paraId="624E5144">
            <w:pPr>
              <w:spacing w:line="240" w:lineRule="auto"/>
              <w:rPr>
                <w:rFonts w:hint="default"/>
                <w:lang w:val="en-US" w:eastAsia="zh-CN"/>
              </w:rPr>
            </w:pPr>
            <w:r>
              <w:rPr>
                <w:rFonts w:hint="default" w:ascii="Times New Roman" w:hAnsi="Times New Roman" w:eastAsia="宋体" w:cs="Times New Roman"/>
                <w:kern w:val="0"/>
                <w:sz w:val="21"/>
                <w:szCs w:val="21"/>
                <w:lang w:val="en-US" w:eastAsia="zh-CN" w:bidi="ar-SA"/>
              </w:rPr>
              <w:t>项目滚胶、烘干及生物质燃烧废气经收集由同一套两级水喷淋+干湿分离+活性炭吸附处理装置处置后，不低于15m高排气筒排放（</w:t>
            </w:r>
            <w:r>
              <w:rPr>
                <w:rFonts w:hint="eastAsia" w:ascii="Times New Roman" w:hAnsi="Times New Roman" w:cs="Times New Roman"/>
                <w:kern w:val="0"/>
                <w:sz w:val="21"/>
                <w:szCs w:val="21"/>
                <w:lang w:val="en-US" w:eastAsia="zh-CN" w:bidi="ar-SA"/>
              </w:rPr>
              <w:t>D</w:t>
            </w:r>
            <w:r>
              <w:rPr>
                <w:rFonts w:hint="default" w:ascii="Times New Roman" w:hAnsi="Times New Roman" w:eastAsia="宋体" w:cs="Times New Roman"/>
                <w:kern w:val="0"/>
                <w:sz w:val="21"/>
                <w:szCs w:val="21"/>
                <w:lang w:val="en-US" w:eastAsia="zh-CN" w:bidi="ar-SA"/>
              </w:rPr>
              <w:t>A001）；织造纤尘车间无组织排放，加强设备维护，减少纤尘，并设置通风装置加强车间换气，改善车间环境质量</w:t>
            </w:r>
            <w:r>
              <w:rPr>
                <w:rFonts w:hint="eastAsia" w:ascii="Times New Roman" w:hAnsi="Times New Roman" w:eastAsia="宋体" w:cs="Times New Roman"/>
                <w:kern w:val="0"/>
                <w:sz w:val="21"/>
                <w:szCs w:val="21"/>
                <w:lang w:val="en-US" w:eastAsia="zh-CN" w:bidi="ar-SA"/>
              </w:rPr>
              <w:t>。</w:t>
            </w:r>
          </w:p>
          <w:p w14:paraId="140F899B">
            <w:pPr>
              <w:spacing w:line="259" w:lineRule="auto"/>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噪声方面：</w:t>
            </w:r>
          </w:p>
          <w:p w14:paraId="526112BF">
            <w:pPr>
              <w:spacing w:line="259" w:lineRule="auto"/>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lang w:val="en-US" w:eastAsia="zh-CN" w:bidi="zh-CN"/>
              </w:rPr>
              <w:t>降噪处理设施</w:t>
            </w:r>
            <w:r>
              <w:rPr>
                <w:rFonts w:hint="default" w:ascii="Times New Roman" w:hAnsi="Times New Roman" w:eastAsia="宋体" w:cs="Times New Roman"/>
                <w:bCs/>
                <w:sz w:val="21"/>
                <w:szCs w:val="21"/>
                <w:lang w:val="en-US" w:eastAsia="zh-CN"/>
              </w:rPr>
              <w:t>。</w:t>
            </w:r>
          </w:p>
          <w:p w14:paraId="38954F12">
            <w:pPr>
              <w:spacing w:line="259" w:lineRule="auto"/>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
                <w:bCs/>
                <w:sz w:val="21"/>
                <w:szCs w:val="21"/>
                <w:lang w:val="en-US" w:eastAsia="zh-CN"/>
              </w:rPr>
              <w:t>固废方面：</w:t>
            </w:r>
          </w:p>
          <w:p w14:paraId="3A07982A">
            <w:pPr>
              <w:spacing w:line="259" w:lineRule="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bCs/>
                <w:sz w:val="21"/>
                <w:szCs w:val="21"/>
                <w:lang w:val="en-US" w:eastAsia="zh-CN" w:bidi="zh-CN"/>
              </w:rPr>
              <w:t>危险废物（废机油桶、废活性炭）暂存于1#厂房一楼危废暂存库（10m</w:t>
            </w:r>
            <w:r>
              <w:rPr>
                <w:rFonts w:hint="default" w:ascii="Times New Roman" w:hAnsi="Times New Roman" w:eastAsia="宋体" w:cs="Times New Roman"/>
                <w:bCs/>
                <w:sz w:val="21"/>
                <w:szCs w:val="21"/>
                <w:vertAlign w:val="superscript"/>
                <w:lang w:val="en-US" w:eastAsia="zh-CN" w:bidi="zh-CN"/>
              </w:rPr>
              <w:t>2</w:t>
            </w:r>
            <w:r>
              <w:rPr>
                <w:rFonts w:hint="default" w:ascii="Times New Roman" w:hAnsi="Times New Roman" w:eastAsia="宋体" w:cs="Times New Roman"/>
                <w:bCs/>
                <w:sz w:val="21"/>
                <w:szCs w:val="21"/>
                <w:lang w:val="en-US" w:eastAsia="zh-CN" w:bidi="zh-CN"/>
              </w:rPr>
              <w:t>），分类收集后委托有资质单位处理处置；一般固废（边角料和废纱、一般废包装材料、灰渣、泥渣）暂存于1#厂房一楼一般固废仓库内（50m</w:t>
            </w:r>
            <w:r>
              <w:rPr>
                <w:rFonts w:hint="default" w:ascii="Times New Roman" w:hAnsi="Times New Roman" w:eastAsia="宋体" w:cs="Times New Roman"/>
                <w:bCs/>
                <w:sz w:val="21"/>
                <w:szCs w:val="21"/>
                <w:vertAlign w:val="superscript"/>
                <w:lang w:val="en-US" w:eastAsia="zh-CN" w:bidi="zh-CN"/>
              </w:rPr>
              <w:t>2</w:t>
            </w:r>
            <w:r>
              <w:rPr>
                <w:rFonts w:hint="default" w:ascii="Times New Roman" w:hAnsi="Times New Roman" w:eastAsia="宋体" w:cs="Times New Roman"/>
                <w:bCs/>
                <w:sz w:val="21"/>
                <w:szCs w:val="21"/>
                <w:lang w:val="en-US" w:eastAsia="zh-CN" w:bidi="zh-CN"/>
              </w:rPr>
              <w:t>），收集后外运综合利用，职工生活垃圾由环卫部门统一清运。。</w:t>
            </w:r>
          </w:p>
        </w:tc>
        <w:tc>
          <w:tcPr>
            <w:tcW w:w="3378" w:type="dxa"/>
            <w:vMerge w:val="restart"/>
            <w:tcBorders>
              <w:tl2br w:val="nil"/>
              <w:tr2bl w:val="nil"/>
            </w:tcBorders>
            <w:vAlign w:val="center"/>
          </w:tcPr>
          <w:p w14:paraId="3A2C9898">
            <w:pPr>
              <w:spacing w:line="259" w:lineRule="auto"/>
              <w:rPr>
                <w:rFonts w:ascii="Times New Roman" w:hAnsi="Times New Roman" w:cs="Times New Roman"/>
                <w:b/>
                <w:bCs/>
                <w:sz w:val="21"/>
                <w:szCs w:val="21"/>
                <w:highlight w:val="none"/>
              </w:rPr>
            </w:pPr>
            <w:r>
              <w:rPr>
                <w:rFonts w:hint="eastAsia" w:ascii="Times New Roman" w:hAnsi="Times New Roman" w:cs="Times New Roman"/>
                <w:b/>
                <w:bCs/>
                <w:sz w:val="21"/>
                <w:szCs w:val="21"/>
                <w:highlight w:val="none"/>
              </w:rPr>
              <w:t>废水方面：</w:t>
            </w:r>
          </w:p>
          <w:p w14:paraId="30546DE9">
            <w:pPr>
              <w:spacing w:line="259" w:lineRule="auto"/>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废气处理水喷淋废水定期清渣，循环使用，根据损耗补充，不外排；职工生活污水经化粪池处理达标后纳入磐安县尖山污水处理厂处理达标后排放</w:t>
            </w:r>
            <w:r>
              <w:rPr>
                <w:rFonts w:hint="eastAsia" w:ascii="Times New Roman" w:hAnsi="Times New Roman" w:eastAsia="宋体" w:cs="Times New Roman"/>
                <w:kern w:val="0"/>
                <w:sz w:val="21"/>
                <w:szCs w:val="21"/>
                <w:highlight w:val="none"/>
                <w:lang w:val="en-US" w:eastAsia="zh-CN" w:bidi="ar-SA"/>
              </w:rPr>
              <w:t>。</w:t>
            </w:r>
          </w:p>
          <w:p w14:paraId="4D0EC16F">
            <w:pPr>
              <w:spacing w:line="259" w:lineRule="auto"/>
              <w:rPr>
                <w:rFonts w:ascii="Times New Roman" w:hAnsi="Times New Roman" w:cs="Times New Roman"/>
                <w:b/>
                <w:bCs/>
                <w:sz w:val="21"/>
                <w:szCs w:val="21"/>
                <w:highlight w:val="none"/>
              </w:rPr>
            </w:pPr>
            <w:r>
              <w:rPr>
                <w:rFonts w:hint="eastAsia" w:ascii="Times New Roman" w:hAnsi="Times New Roman" w:cs="Times New Roman"/>
                <w:b/>
                <w:bCs/>
                <w:sz w:val="21"/>
                <w:szCs w:val="21"/>
                <w:highlight w:val="none"/>
              </w:rPr>
              <w:t>废气方面：</w:t>
            </w:r>
          </w:p>
          <w:p w14:paraId="615FDFFE">
            <w:pPr>
              <w:spacing w:line="240" w:lineRule="auto"/>
              <w:rPr>
                <w:rFonts w:hint="default"/>
                <w:highlight w:val="none"/>
                <w:lang w:val="en-US" w:eastAsia="zh-CN"/>
              </w:rPr>
            </w:pPr>
            <w:r>
              <w:rPr>
                <w:rFonts w:hint="default" w:ascii="Times New Roman" w:hAnsi="Times New Roman" w:eastAsia="宋体" w:cs="Times New Roman"/>
                <w:kern w:val="0"/>
                <w:sz w:val="21"/>
                <w:szCs w:val="21"/>
                <w:highlight w:val="none"/>
                <w:lang w:val="en-US" w:eastAsia="zh-CN" w:bidi="ar-SA"/>
              </w:rPr>
              <w:t>项目生物质</w:t>
            </w:r>
            <w:r>
              <w:rPr>
                <w:rFonts w:hint="eastAsia" w:ascii="Times New Roman" w:hAnsi="Times New Roman" w:cs="Times New Roman"/>
                <w:kern w:val="0"/>
                <w:sz w:val="21"/>
                <w:szCs w:val="21"/>
                <w:highlight w:val="none"/>
                <w:lang w:val="en-US" w:eastAsia="zh-CN" w:bidi="ar-SA"/>
              </w:rPr>
              <w:t>颗粒</w:t>
            </w:r>
            <w:r>
              <w:rPr>
                <w:rFonts w:hint="default" w:ascii="Times New Roman" w:hAnsi="Times New Roman" w:eastAsia="宋体" w:cs="Times New Roman"/>
                <w:kern w:val="0"/>
                <w:sz w:val="21"/>
                <w:szCs w:val="21"/>
                <w:highlight w:val="none"/>
                <w:lang w:val="en-US" w:eastAsia="zh-CN" w:bidi="ar-SA"/>
              </w:rPr>
              <w:t>燃烧废气收集</w:t>
            </w:r>
            <w:r>
              <w:rPr>
                <w:rFonts w:hint="eastAsia" w:ascii="Times New Roman" w:hAnsi="Times New Roman" w:cs="Times New Roman"/>
                <w:kern w:val="0"/>
                <w:sz w:val="21"/>
                <w:szCs w:val="21"/>
                <w:highlight w:val="none"/>
                <w:lang w:val="en-US" w:eastAsia="zh-CN" w:bidi="ar-SA"/>
              </w:rPr>
              <w:t>后先经过水喷淋处理后，再与</w:t>
            </w:r>
            <w:r>
              <w:rPr>
                <w:rFonts w:hint="default" w:ascii="Times New Roman" w:hAnsi="Times New Roman" w:eastAsia="宋体" w:cs="Times New Roman"/>
                <w:kern w:val="0"/>
                <w:sz w:val="21"/>
                <w:szCs w:val="21"/>
                <w:highlight w:val="none"/>
                <w:lang w:val="en-US" w:eastAsia="zh-CN" w:bidi="ar-SA"/>
              </w:rPr>
              <w:t>滚胶、烘干</w:t>
            </w:r>
            <w:r>
              <w:rPr>
                <w:rFonts w:hint="eastAsia" w:ascii="Times New Roman" w:hAnsi="Times New Roman" w:cs="Times New Roman"/>
                <w:kern w:val="0"/>
                <w:sz w:val="21"/>
                <w:szCs w:val="21"/>
                <w:highlight w:val="none"/>
                <w:lang w:val="en-US" w:eastAsia="zh-CN" w:bidi="ar-SA"/>
              </w:rPr>
              <w:t>废气经</w:t>
            </w:r>
            <w:r>
              <w:rPr>
                <w:rFonts w:hint="default" w:ascii="Times New Roman" w:hAnsi="Times New Roman" w:eastAsia="宋体" w:cs="Times New Roman"/>
                <w:kern w:val="0"/>
                <w:sz w:val="21"/>
                <w:szCs w:val="21"/>
                <w:highlight w:val="none"/>
                <w:lang w:val="en-US" w:eastAsia="zh-CN" w:bidi="ar-SA"/>
              </w:rPr>
              <w:t>由同一套</w:t>
            </w:r>
            <w:r>
              <w:rPr>
                <w:rFonts w:hint="eastAsia" w:ascii="Times New Roman" w:hAnsi="Times New Roman"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两级水喷淋+</w:t>
            </w:r>
            <w:r>
              <w:rPr>
                <w:rFonts w:hint="eastAsia" w:ascii="Times New Roman" w:hAnsi="Times New Roman" w:cs="Times New Roman"/>
                <w:kern w:val="0"/>
                <w:sz w:val="21"/>
                <w:szCs w:val="21"/>
                <w:highlight w:val="none"/>
                <w:lang w:val="en-US" w:eastAsia="zh-CN" w:bidi="ar-SA"/>
              </w:rPr>
              <w:t>除油+</w:t>
            </w:r>
            <w:r>
              <w:rPr>
                <w:rFonts w:hint="default" w:ascii="Times New Roman" w:hAnsi="Times New Roman" w:eastAsia="宋体" w:cs="Times New Roman"/>
                <w:kern w:val="0"/>
                <w:sz w:val="21"/>
                <w:szCs w:val="21"/>
                <w:highlight w:val="none"/>
                <w:lang w:val="en-US" w:eastAsia="zh-CN" w:bidi="ar-SA"/>
              </w:rPr>
              <w:t>干湿分离+活性炭吸附</w:t>
            </w:r>
            <w:r>
              <w:rPr>
                <w:rFonts w:hint="eastAsia" w:ascii="Times New Roman" w:hAnsi="Times New Roman" w:cs="Times New Roman"/>
                <w:kern w:val="0"/>
                <w:sz w:val="21"/>
                <w:szCs w:val="21"/>
                <w:highlight w:val="none"/>
                <w:lang w:val="en-US" w:eastAsia="zh-CN" w:bidi="ar-SA"/>
              </w:rPr>
              <w:t>”</w:t>
            </w:r>
            <w:r>
              <w:rPr>
                <w:rFonts w:hint="default" w:ascii="Times New Roman" w:hAnsi="Times New Roman" w:eastAsia="宋体" w:cs="Times New Roman"/>
                <w:kern w:val="0"/>
                <w:sz w:val="21"/>
                <w:szCs w:val="21"/>
                <w:highlight w:val="none"/>
                <w:lang w:val="en-US" w:eastAsia="zh-CN" w:bidi="ar-SA"/>
              </w:rPr>
              <w:t>处理装置处置后</w:t>
            </w:r>
            <w:r>
              <w:rPr>
                <w:rFonts w:hint="eastAsia" w:ascii="Times New Roman" w:hAnsi="Times New Roman" w:cs="Times New Roman"/>
                <w:kern w:val="0"/>
                <w:sz w:val="21"/>
                <w:szCs w:val="21"/>
                <w:highlight w:val="none"/>
                <w:lang w:val="en-US" w:eastAsia="zh-CN" w:bidi="ar-SA"/>
              </w:rPr>
              <w:t>由</w:t>
            </w:r>
            <w:r>
              <w:rPr>
                <w:rFonts w:hint="default" w:ascii="Times New Roman" w:hAnsi="Times New Roman" w:eastAsia="宋体" w:cs="Times New Roman"/>
                <w:kern w:val="0"/>
                <w:sz w:val="21"/>
                <w:szCs w:val="21"/>
                <w:highlight w:val="none"/>
                <w:lang w:val="en-US" w:eastAsia="zh-CN" w:bidi="ar-SA"/>
              </w:rPr>
              <w:t>15m高排气筒排放（</w:t>
            </w:r>
            <w:r>
              <w:rPr>
                <w:rFonts w:hint="eastAsia" w:ascii="Times New Roman" w:hAnsi="Times New Roman" w:cs="Times New Roman"/>
                <w:kern w:val="0"/>
                <w:sz w:val="21"/>
                <w:szCs w:val="21"/>
                <w:highlight w:val="none"/>
                <w:lang w:val="en-US" w:eastAsia="zh-CN" w:bidi="ar-SA"/>
              </w:rPr>
              <w:t>D</w:t>
            </w:r>
            <w:r>
              <w:rPr>
                <w:rFonts w:hint="default" w:ascii="Times New Roman" w:hAnsi="Times New Roman" w:eastAsia="宋体" w:cs="Times New Roman"/>
                <w:kern w:val="0"/>
                <w:sz w:val="21"/>
                <w:szCs w:val="21"/>
                <w:highlight w:val="none"/>
                <w:lang w:val="en-US" w:eastAsia="zh-CN" w:bidi="ar-SA"/>
              </w:rPr>
              <w:t>A001）；织造纤尘车间无组织排放</w:t>
            </w:r>
            <w:r>
              <w:rPr>
                <w:rFonts w:hint="eastAsia" w:ascii="Times New Roman" w:hAnsi="Times New Roman" w:eastAsia="宋体" w:cs="Times New Roman"/>
                <w:kern w:val="0"/>
                <w:sz w:val="21"/>
                <w:szCs w:val="21"/>
                <w:highlight w:val="none"/>
                <w:lang w:val="en-US" w:eastAsia="zh-CN" w:bidi="ar-SA"/>
              </w:rPr>
              <w:t>。</w:t>
            </w:r>
          </w:p>
          <w:p w14:paraId="72D9227E">
            <w:pPr>
              <w:spacing w:line="259" w:lineRule="auto"/>
              <w:rPr>
                <w:rFonts w:hint="eastAsia" w:ascii="Times New Roman" w:hAnsi="Times New Roman" w:cs="Times New Roman"/>
                <w:sz w:val="21"/>
                <w:szCs w:val="21"/>
                <w:highlight w:val="none"/>
              </w:rPr>
            </w:pPr>
            <w:r>
              <w:rPr>
                <w:rFonts w:hint="eastAsia" w:ascii="Times New Roman" w:hAnsi="Times New Roman" w:cs="Times New Roman"/>
                <w:b/>
                <w:bCs/>
                <w:sz w:val="21"/>
                <w:szCs w:val="21"/>
                <w:highlight w:val="none"/>
              </w:rPr>
              <w:t>噪声方面</w:t>
            </w:r>
            <w:r>
              <w:rPr>
                <w:rFonts w:hint="eastAsia" w:ascii="Times New Roman" w:hAnsi="Times New Roman" w:cs="Times New Roman"/>
                <w:sz w:val="21"/>
                <w:szCs w:val="21"/>
                <w:highlight w:val="none"/>
              </w:rPr>
              <w:t>：</w:t>
            </w:r>
          </w:p>
          <w:p w14:paraId="33BC1B3C">
            <w:pPr>
              <w:spacing w:line="259" w:lineRule="auto"/>
              <w:rPr>
                <w:rFonts w:ascii="Times New Roman" w:hAnsi="Times New Roman" w:cs="Times New Roman"/>
                <w:sz w:val="21"/>
                <w:szCs w:val="21"/>
                <w:highlight w:val="none"/>
              </w:rPr>
            </w:pPr>
            <w:r>
              <w:rPr>
                <w:rFonts w:hint="eastAsia" w:ascii="Times New Roman" w:hAnsi="Times New Roman" w:eastAsia="宋体" w:cs="Times New Roman"/>
                <w:kern w:val="0"/>
                <w:sz w:val="21"/>
                <w:szCs w:val="21"/>
                <w:highlight w:val="none"/>
                <w:lang w:val="en-US" w:eastAsia="zh-CN" w:bidi="ar-SA"/>
              </w:rPr>
              <w:t>车间内对高噪声设备采取防震、降噪措施；合理安排作业时间，选用低噪声设备；平时加强设备的维护，确保设备处于良好的运转状态，杜绝因设备不正常运转时产生的高噪声现象</w:t>
            </w:r>
            <w:r>
              <w:rPr>
                <w:rFonts w:hint="eastAsia" w:ascii="Times New Roman" w:hAnsi="Times New Roman" w:cs="Times New Roman"/>
                <w:sz w:val="21"/>
                <w:szCs w:val="21"/>
                <w:highlight w:val="none"/>
                <w:lang w:val="en-US" w:eastAsia="zh-CN"/>
              </w:rPr>
              <w:t>。</w:t>
            </w:r>
          </w:p>
          <w:p w14:paraId="426C7993">
            <w:pPr>
              <w:spacing w:line="259" w:lineRule="auto"/>
              <w:rPr>
                <w:rFonts w:ascii="Times New Roman" w:hAnsi="Times New Roman" w:cs="Times New Roman"/>
                <w:b/>
                <w:bCs/>
                <w:sz w:val="21"/>
                <w:szCs w:val="21"/>
                <w:highlight w:val="none"/>
              </w:rPr>
            </w:pPr>
            <w:r>
              <w:rPr>
                <w:rFonts w:hint="eastAsia" w:ascii="Times New Roman" w:hAnsi="Times New Roman" w:cs="Times New Roman"/>
                <w:b/>
                <w:bCs/>
                <w:sz w:val="21"/>
                <w:szCs w:val="21"/>
                <w:highlight w:val="none"/>
              </w:rPr>
              <w:t>固废方面：</w:t>
            </w:r>
          </w:p>
          <w:p w14:paraId="581CCF5A">
            <w:pPr>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危险固废：设置危险固废暂存间，位于2#厂房东侧阁楼，占地10m</w:t>
            </w:r>
            <w:r>
              <w:rPr>
                <w:rFonts w:hint="eastAsia" w:ascii="Times New Roman" w:hAnsi="Times New Roman" w:eastAsia="宋体" w:cs="Times New Roman"/>
                <w:bCs/>
                <w:sz w:val="21"/>
                <w:szCs w:val="21"/>
                <w:highlight w:val="none"/>
                <w:vertAlign w:val="superscript"/>
                <w:lang w:val="en-US" w:eastAsia="zh-CN" w:bidi="zh-CN"/>
              </w:rPr>
              <w:t>2</w:t>
            </w:r>
            <w:r>
              <w:rPr>
                <w:rFonts w:hint="eastAsia" w:ascii="Times New Roman" w:hAnsi="Times New Roman" w:eastAsia="宋体" w:cs="Times New Roman"/>
                <w:bCs/>
                <w:sz w:val="21"/>
                <w:szCs w:val="21"/>
                <w:highlight w:val="none"/>
                <w:lang w:val="en-US" w:eastAsia="zh-CN" w:bidi="zh-CN"/>
              </w:rPr>
              <w:t>，分类收集后委托磐安海呈环境服务有限公司进行处置；</w:t>
            </w:r>
          </w:p>
          <w:p w14:paraId="35BB4ACE">
            <w:pPr>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一般固废：设置一般固废仓库，一般固废定期外售给物资单位</w:t>
            </w:r>
            <w:r>
              <w:rPr>
                <w:rFonts w:hint="eastAsia" w:ascii="Times New Roman" w:hAnsi="Times New Roman" w:eastAsia="宋体" w:cs="Times New Roman"/>
                <w:bCs/>
                <w:sz w:val="21"/>
                <w:szCs w:val="21"/>
                <w:highlight w:val="none"/>
                <w:lang w:val="en-US" w:eastAsia="zh-CN" w:bidi="zh-CN"/>
              </w:rPr>
              <w:t>；</w:t>
            </w:r>
          </w:p>
          <w:p w14:paraId="47E300EF">
            <w:pPr>
              <w:rPr>
                <w:rFonts w:hint="eastAsia" w:ascii="Times New Roman" w:hAnsi="Times New Roman"/>
                <w:sz w:val="21"/>
                <w:szCs w:val="21"/>
              </w:rPr>
            </w:pPr>
            <w:r>
              <w:rPr>
                <w:rFonts w:hint="default" w:ascii="Times New Roman" w:hAnsi="Times New Roman" w:eastAsia="宋体" w:cs="Times New Roman"/>
                <w:bCs/>
                <w:sz w:val="21"/>
                <w:szCs w:val="21"/>
                <w:highlight w:val="none"/>
                <w:lang w:val="en-US" w:eastAsia="zh-CN" w:bidi="zh-CN"/>
              </w:rPr>
              <w:t>生活垃圾：委托环卫部门处置。</w:t>
            </w:r>
          </w:p>
        </w:tc>
        <w:tc>
          <w:tcPr>
            <w:tcW w:w="4584" w:type="dxa"/>
            <w:tcBorders>
              <w:tl2br w:val="nil"/>
              <w:tr2bl w:val="nil"/>
            </w:tcBorders>
            <w:vAlign w:val="center"/>
          </w:tcPr>
          <w:p w14:paraId="20EDF7AC">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66ECDB81">
            <w:pPr>
              <w:spacing w:line="259" w:lineRule="auto"/>
              <w:jc w:val="center"/>
              <w:rPr>
                <w:rFonts w:ascii="Times New Roman" w:hAnsi="Times New Roman"/>
              </w:rPr>
            </w:pPr>
            <w:r>
              <w:rPr>
                <w:rFonts w:hint="eastAsia" w:ascii="Times New Roman" w:hAnsi="Times New Roman"/>
              </w:rPr>
              <w:t>否</w:t>
            </w:r>
          </w:p>
        </w:tc>
      </w:tr>
      <w:tr w14:paraId="22B9B2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61" w:hRule="atLeast"/>
          <w:jc w:val="center"/>
        </w:trPr>
        <w:tc>
          <w:tcPr>
            <w:tcW w:w="870" w:type="dxa"/>
            <w:vMerge w:val="continue"/>
            <w:tcBorders>
              <w:tl2br w:val="nil"/>
              <w:tr2bl w:val="nil"/>
            </w:tcBorders>
            <w:vAlign w:val="center"/>
          </w:tcPr>
          <w:p w14:paraId="2C1BB704">
            <w:pPr>
              <w:spacing w:line="259" w:lineRule="auto"/>
              <w:jc w:val="center"/>
              <w:rPr>
                <w:rFonts w:ascii="Times New Roman" w:hAnsi="Times New Roman"/>
              </w:rPr>
            </w:pPr>
          </w:p>
        </w:tc>
        <w:tc>
          <w:tcPr>
            <w:tcW w:w="3377" w:type="dxa"/>
            <w:vMerge w:val="continue"/>
            <w:tcBorders>
              <w:tl2br w:val="nil"/>
              <w:tr2bl w:val="nil"/>
            </w:tcBorders>
            <w:vAlign w:val="center"/>
          </w:tcPr>
          <w:p w14:paraId="7A320BC1">
            <w:pPr>
              <w:spacing w:line="259" w:lineRule="auto"/>
              <w:jc w:val="left"/>
              <w:rPr>
                <w:rFonts w:ascii="Times New Roman" w:hAnsi="Times New Roman"/>
              </w:rPr>
            </w:pPr>
          </w:p>
        </w:tc>
        <w:tc>
          <w:tcPr>
            <w:tcW w:w="3378" w:type="dxa"/>
            <w:vMerge w:val="continue"/>
            <w:tcBorders>
              <w:tl2br w:val="nil"/>
              <w:tr2bl w:val="nil"/>
            </w:tcBorders>
            <w:vAlign w:val="center"/>
          </w:tcPr>
          <w:p w14:paraId="40459232">
            <w:pPr>
              <w:spacing w:line="259" w:lineRule="auto"/>
              <w:jc w:val="left"/>
              <w:rPr>
                <w:rFonts w:ascii="Times New Roman" w:hAnsi="Times New Roman"/>
              </w:rPr>
            </w:pPr>
          </w:p>
        </w:tc>
        <w:tc>
          <w:tcPr>
            <w:tcW w:w="4584" w:type="dxa"/>
            <w:tcBorders>
              <w:tl2br w:val="nil"/>
              <w:tr2bl w:val="nil"/>
            </w:tcBorders>
            <w:vAlign w:val="center"/>
          </w:tcPr>
          <w:p w14:paraId="205E201C">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条中所列情形之一（废气无组织排放改为有组织排放、污染防治措施强化或改进的除外）或大气污染物无组织排放量增加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68" w:type="dxa"/>
            <w:tcBorders>
              <w:tl2br w:val="nil"/>
              <w:tr2bl w:val="nil"/>
            </w:tcBorders>
            <w:vAlign w:val="center"/>
          </w:tcPr>
          <w:p w14:paraId="675FA85B">
            <w:pPr>
              <w:spacing w:line="259" w:lineRule="auto"/>
              <w:jc w:val="center"/>
              <w:rPr>
                <w:rFonts w:ascii="Times New Roman" w:hAnsi="Times New Roman"/>
              </w:rPr>
            </w:pPr>
            <w:r>
              <w:rPr>
                <w:rFonts w:hint="eastAsia" w:ascii="Times New Roman" w:hAnsi="Times New Roman"/>
              </w:rPr>
              <w:t>否</w:t>
            </w:r>
          </w:p>
        </w:tc>
      </w:tr>
      <w:tr w14:paraId="78A159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D6CAA23">
            <w:pPr>
              <w:spacing w:line="259" w:lineRule="auto"/>
              <w:jc w:val="center"/>
              <w:rPr>
                <w:rFonts w:ascii="Times New Roman" w:hAnsi="Times New Roman"/>
              </w:rPr>
            </w:pPr>
          </w:p>
        </w:tc>
        <w:tc>
          <w:tcPr>
            <w:tcW w:w="3377" w:type="dxa"/>
            <w:vMerge w:val="continue"/>
            <w:tcBorders>
              <w:tl2br w:val="nil"/>
              <w:tr2bl w:val="nil"/>
            </w:tcBorders>
            <w:vAlign w:val="center"/>
          </w:tcPr>
          <w:p w14:paraId="3D33B381">
            <w:pPr>
              <w:spacing w:line="259" w:lineRule="auto"/>
              <w:jc w:val="left"/>
              <w:rPr>
                <w:rFonts w:ascii="Times New Roman" w:hAnsi="Times New Roman"/>
              </w:rPr>
            </w:pPr>
          </w:p>
        </w:tc>
        <w:tc>
          <w:tcPr>
            <w:tcW w:w="3378" w:type="dxa"/>
            <w:vMerge w:val="continue"/>
            <w:tcBorders>
              <w:tl2br w:val="nil"/>
              <w:tr2bl w:val="nil"/>
            </w:tcBorders>
            <w:vAlign w:val="center"/>
          </w:tcPr>
          <w:p w14:paraId="460F383B">
            <w:pPr>
              <w:spacing w:line="259" w:lineRule="auto"/>
              <w:jc w:val="left"/>
              <w:rPr>
                <w:rFonts w:ascii="Times New Roman" w:hAnsi="Times New Roman"/>
              </w:rPr>
            </w:pPr>
          </w:p>
        </w:tc>
        <w:tc>
          <w:tcPr>
            <w:tcW w:w="4584" w:type="dxa"/>
            <w:tcBorders>
              <w:tl2br w:val="nil"/>
              <w:tr2bl w:val="nil"/>
            </w:tcBorders>
            <w:vAlign w:val="center"/>
          </w:tcPr>
          <w:p w14:paraId="1E719A97">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9</w:t>
            </w:r>
            <w:r>
              <w:rPr>
                <w:rFonts w:hint="eastAsia" w:ascii="Times New Roman" w:hAnsi="Times New Roman"/>
                <w:lang w:val="en-US" w:eastAsia="zh-CN"/>
              </w:rPr>
              <w:t>、新增废水直接排放口；废水由间接排放改为直接排放；废水直接排放口位置变化，导致不利环境影响加重的。</w:t>
            </w:r>
          </w:p>
        </w:tc>
        <w:tc>
          <w:tcPr>
            <w:tcW w:w="1868" w:type="dxa"/>
            <w:tcBorders>
              <w:tl2br w:val="nil"/>
              <w:tr2bl w:val="nil"/>
            </w:tcBorders>
            <w:vAlign w:val="center"/>
          </w:tcPr>
          <w:p w14:paraId="165B7402">
            <w:pPr>
              <w:spacing w:line="259" w:lineRule="auto"/>
              <w:jc w:val="center"/>
              <w:rPr>
                <w:rFonts w:ascii="Times New Roman" w:hAnsi="Times New Roman"/>
              </w:rPr>
            </w:pPr>
            <w:r>
              <w:rPr>
                <w:rFonts w:hint="eastAsia" w:ascii="Times New Roman" w:hAnsi="Times New Roman"/>
              </w:rPr>
              <w:t>否</w:t>
            </w:r>
          </w:p>
        </w:tc>
      </w:tr>
      <w:tr w14:paraId="1C8AAE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0FBABDE7">
            <w:pPr>
              <w:spacing w:line="259" w:lineRule="auto"/>
              <w:jc w:val="center"/>
              <w:rPr>
                <w:rFonts w:ascii="Times New Roman" w:hAnsi="Times New Roman"/>
              </w:rPr>
            </w:pPr>
          </w:p>
        </w:tc>
        <w:tc>
          <w:tcPr>
            <w:tcW w:w="3377" w:type="dxa"/>
            <w:vMerge w:val="continue"/>
            <w:tcBorders>
              <w:tl2br w:val="nil"/>
              <w:tr2bl w:val="nil"/>
            </w:tcBorders>
            <w:vAlign w:val="center"/>
          </w:tcPr>
          <w:p w14:paraId="049DBDF0">
            <w:pPr>
              <w:spacing w:line="259" w:lineRule="auto"/>
              <w:jc w:val="left"/>
              <w:rPr>
                <w:rFonts w:ascii="Times New Roman" w:hAnsi="Times New Roman"/>
              </w:rPr>
            </w:pPr>
          </w:p>
        </w:tc>
        <w:tc>
          <w:tcPr>
            <w:tcW w:w="3378" w:type="dxa"/>
            <w:vMerge w:val="continue"/>
            <w:tcBorders>
              <w:tl2br w:val="nil"/>
              <w:tr2bl w:val="nil"/>
            </w:tcBorders>
            <w:vAlign w:val="center"/>
          </w:tcPr>
          <w:p w14:paraId="2DAE604D">
            <w:pPr>
              <w:spacing w:line="259" w:lineRule="auto"/>
              <w:jc w:val="left"/>
              <w:rPr>
                <w:rFonts w:ascii="Times New Roman" w:hAnsi="Times New Roman"/>
              </w:rPr>
            </w:pPr>
          </w:p>
        </w:tc>
        <w:tc>
          <w:tcPr>
            <w:tcW w:w="4584" w:type="dxa"/>
            <w:tcBorders>
              <w:tl2br w:val="nil"/>
              <w:tr2bl w:val="nil"/>
            </w:tcBorders>
            <w:vAlign w:val="center"/>
          </w:tcPr>
          <w:p w14:paraId="132EC419">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10</w:t>
            </w:r>
            <w:r>
              <w:rPr>
                <w:rFonts w:hint="eastAsia" w:ascii="Times New Roman" w:hAnsi="Times New Roman"/>
                <w:lang w:val="en-US" w:eastAsia="zh-CN"/>
              </w:rPr>
              <w:t>、新增废气主要排放口（废气无组织排放改为有组织排放的除外）；主要排放口排气筒高度降低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6E0122E8">
            <w:pPr>
              <w:spacing w:line="259" w:lineRule="auto"/>
              <w:jc w:val="center"/>
              <w:rPr>
                <w:rFonts w:ascii="Times New Roman" w:hAnsi="Times New Roman"/>
              </w:rPr>
            </w:pPr>
            <w:r>
              <w:rPr>
                <w:rFonts w:hint="eastAsia" w:ascii="Times New Roman" w:hAnsi="Times New Roman"/>
              </w:rPr>
              <w:t>否</w:t>
            </w:r>
          </w:p>
        </w:tc>
      </w:tr>
      <w:tr w14:paraId="4EFBB3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3C6F5095">
            <w:pPr>
              <w:spacing w:line="259" w:lineRule="auto"/>
              <w:jc w:val="center"/>
              <w:rPr>
                <w:rFonts w:ascii="Times New Roman" w:hAnsi="Times New Roman"/>
              </w:rPr>
            </w:pPr>
          </w:p>
        </w:tc>
        <w:tc>
          <w:tcPr>
            <w:tcW w:w="3377" w:type="dxa"/>
            <w:vMerge w:val="continue"/>
            <w:tcBorders>
              <w:tl2br w:val="nil"/>
              <w:tr2bl w:val="nil"/>
            </w:tcBorders>
            <w:vAlign w:val="center"/>
          </w:tcPr>
          <w:p w14:paraId="4BC2196B">
            <w:pPr>
              <w:spacing w:line="259" w:lineRule="auto"/>
              <w:jc w:val="left"/>
              <w:rPr>
                <w:rFonts w:ascii="Times New Roman" w:hAnsi="Times New Roman"/>
              </w:rPr>
            </w:pPr>
          </w:p>
        </w:tc>
        <w:tc>
          <w:tcPr>
            <w:tcW w:w="3378" w:type="dxa"/>
            <w:vMerge w:val="continue"/>
            <w:tcBorders>
              <w:tl2br w:val="nil"/>
              <w:tr2bl w:val="nil"/>
            </w:tcBorders>
            <w:vAlign w:val="center"/>
          </w:tcPr>
          <w:p w14:paraId="03B4CB67">
            <w:pPr>
              <w:spacing w:line="259" w:lineRule="auto"/>
              <w:jc w:val="left"/>
              <w:rPr>
                <w:rFonts w:ascii="Times New Roman" w:hAnsi="Times New Roman"/>
              </w:rPr>
            </w:pPr>
          </w:p>
        </w:tc>
        <w:tc>
          <w:tcPr>
            <w:tcW w:w="4584" w:type="dxa"/>
            <w:tcBorders>
              <w:tl2br w:val="nil"/>
              <w:tr2bl w:val="nil"/>
            </w:tcBorders>
            <w:vAlign w:val="center"/>
          </w:tcPr>
          <w:p w14:paraId="7628D057">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68" w:type="dxa"/>
            <w:tcBorders>
              <w:tl2br w:val="nil"/>
              <w:tr2bl w:val="nil"/>
            </w:tcBorders>
            <w:vAlign w:val="center"/>
          </w:tcPr>
          <w:p w14:paraId="1B8CAF66">
            <w:pPr>
              <w:spacing w:line="259" w:lineRule="auto"/>
              <w:jc w:val="center"/>
              <w:rPr>
                <w:rFonts w:ascii="Times New Roman" w:hAnsi="Times New Roman"/>
              </w:rPr>
            </w:pPr>
            <w:r>
              <w:rPr>
                <w:rFonts w:hint="eastAsia" w:ascii="Times New Roman" w:hAnsi="Times New Roman"/>
              </w:rPr>
              <w:t>否</w:t>
            </w:r>
          </w:p>
        </w:tc>
      </w:tr>
      <w:tr w14:paraId="5C1F95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43" w:hRule="atLeast"/>
          <w:jc w:val="center"/>
        </w:trPr>
        <w:tc>
          <w:tcPr>
            <w:tcW w:w="870" w:type="dxa"/>
            <w:vMerge w:val="continue"/>
            <w:tcBorders>
              <w:tl2br w:val="nil"/>
              <w:tr2bl w:val="nil"/>
            </w:tcBorders>
            <w:vAlign w:val="center"/>
          </w:tcPr>
          <w:p w14:paraId="5A1A7182">
            <w:pPr>
              <w:spacing w:line="259" w:lineRule="auto"/>
              <w:jc w:val="center"/>
              <w:rPr>
                <w:rFonts w:ascii="Times New Roman" w:hAnsi="Times New Roman"/>
              </w:rPr>
            </w:pPr>
          </w:p>
        </w:tc>
        <w:tc>
          <w:tcPr>
            <w:tcW w:w="3377" w:type="dxa"/>
            <w:vMerge w:val="continue"/>
            <w:tcBorders>
              <w:tl2br w:val="nil"/>
              <w:tr2bl w:val="nil"/>
            </w:tcBorders>
            <w:vAlign w:val="center"/>
          </w:tcPr>
          <w:p w14:paraId="7C2B210C">
            <w:pPr>
              <w:spacing w:line="259" w:lineRule="auto"/>
              <w:jc w:val="left"/>
              <w:rPr>
                <w:rFonts w:ascii="Times New Roman" w:hAnsi="Times New Roman"/>
              </w:rPr>
            </w:pPr>
          </w:p>
        </w:tc>
        <w:tc>
          <w:tcPr>
            <w:tcW w:w="3378" w:type="dxa"/>
            <w:vMerge w:val="continue"/>
            <w:tcBorders>
              <w:tl2br w:val="nil"/>
              <w:tr2bl w:val="nil"/>
            </w:tcBorders>
            <w:vAlign w:val="center"/>
          </w:tcPr>
          <w:p w14:paraId="7F9C6A02">
            <w:pPr>
              <w:spacing w:line="259" w:lineRule="auto"/>
              <w:jc w:val="left"/>
              <w:rPr>
                <w:rFonts w:ascii="Times New Roman" w:hAnsi="Times New Roman"/>
              </w:rPr>
            </w:pPr>
          </w:p>
        </w:tc>
        <w:tc>
          <w:tcPr>
            <w:tcW w:w="4584" w:type="dxa"/>
            <w:tcBorders>
              <w:tl2br w:val="nil"/>
              <w:tr2bl w:val="nil"/>
            </w:tcBorders>
            <w:vAlign w:val="center"/>
          </w:tcPr>
          <w:p w14:paraId="2EF3AAA4">
            <w:pPr>
              <w:spacing w:line="240" w:lineRule="auto"/>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14:paraId="1B29FC57">
            <w:pPr>
              <w:spacing w:line="259" w:lineRule="auto"/>
              <w:jc w:val="center"/>
              <w:rPr>
                <w:rFonts w:ascii="Times New Roman" w:hAnsi="Times New Roman"/>
              </w:rPr>
            </w:pPr>
            <w:r>
              <w:rPr>
                <w:rFonts w:hint="eastAsia" w:ascii="Times New Roman" w:hAnsi="Times New Roman"/>
              </w:rPr>
              <w:t>否</w:t>
            </w:r>
          </w:p>
        </w:tc>
      </w:tr>
      <w:tr w14:paraId="2BB310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03" w:hRule="atLeast"/>
          <w:jc w:val="center"/>
        </w:trPr>
        <w:tc>
          <w:tcPr>
            <w:tcW w:w="870" w:type="dxa"/>
            <w:vMerge w:val="continue"/>
            <w:tcBorders>
              <w:tl2br w:val="nil"/>
              <w:tr2bl w:val="nil"/>
            </w:tcBorders>
            <w:vAlign w:val="center"/>
          </w:tcPr>
          <w:p w14:paraId="3C368714">
            <w:pPr>
              <w:spacing w:line="259" w:lineRule="auto"/>
              <w:jc w:val="center"/>
            </w:pPr>
          </w:p>
        </w:tc>
        <w:tc>
          <w:tcPr>
            <w:tcW w:w="3377" w:type="dxa"/>
            <w:vMerge w:val="continue"/>
            <w:tcBorders>
              <w:tl2br w:val="nil"/>
              <w:tr2bl w:val="nil"/>
            </w:tcBorders>
            <w:vAlign w:val="center"/>
          </w:tcPr>
          <w:p w14:paraId="756CBB8B">
            <w:pPr>
              <w:spacing w:line="259" w:lineRule="auto"/>
              <w:jc w:val="center"/>
            </w:pPr>
          </w:p>
        </w:tc>
        <w:tc>
          <w:tcPr>
            <w:tcW w:w="3378" w:type="dxa"/>
            <w:vMerge w:val="continue"/>
            <w:tcBorders>
              <w:tl2br w:val="nil"/>
              <w:tr2bl w:val="nil"/>
            </w:tcBorders>
            <w:vAlign w:val="center"/>
          </w:tcPr>
          <w:p w14:paraId="0470E21A">
            <w:pPr>
              <w:spacing w:line="259" w:lineRule="auto"/>
              <w:jc w:val="center"/>
            </w:pPr>
          </w:p>
        </w:tc>
        <w:tc>
          <w:tcPr>
            <w:tcW w:w="4584" w:type="dxa"/>
            <w:tcBorders>
              <w:tl2br w:val="nil"/>
              <w:tr2bl w:val="nil"/>
            </w:tcBorders>
            <w:vAlign w:val="center"/>
          </w:tcPr>
          <w:p w14:paraId="761ECDD3">
            <w:pPr>
              <w:spacing w:line="240" w:lineRule="auto"/>
              <w:jc w:val="left"/>
              <w:rPr>
                <w:rFonts w:hint="default"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68" w:type="dxa"/>
            <w:tcBorders>
              <w:tl2br w:val="nil"/>
              <w:tr2bl w:val="nil"/>
            </w:tcBorders>
            <w:vAlign w:val="center"/>
          </w:tcPr>
          <w:p w14:paraId="622FB1D1">
            <w:pPr>
              <w:spacing w:line="259" w:lineRule="auto"/>
              <w:jc w:val="center"/>
              <w:rPr>
                <w:rFonts w:hint="default" w:ascii="Times New Roman" w:hAnsi="Times New Roman"/>
                <w:lang w:val="en-US" w:eastAsia="zh-CN"/>
              </w:rPr>
            </w:pPr>
            <w:r>
              <w:rPr>
                <w:rFonts w:hint="eastAsia" w:ascii="Times New Roman" w:hAnsi="Times New Roman"/>
              </w:rPr>
              <w:t>否</w:t>
            </w:r>
          </w:p>
        </w:tc>
      </w:tr>
    </w:tbl>
    <w:p w14:paraId="54F76D54">
      <w:p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636DE45C">
      <w:pPr>
        <w:pStyle w:val="14"/>
        <w:outlineLvl w:val="0"/>
        <w:rPr>
          <w:rFonts w:hint="default" w:ascii="Times New Roman" w:hAnsi="Times New Roman" w:eastAsiaTheme="majorEastAsia" w:cstheme="majorBidi"/>
          <w:b/>
          <w:bCs w:val="0"/>
          <w:i w:val="0"/>
          <w:iCs w:val="0"/>
          <w:kern w:val="44"/>
          <w:sz w:val="32"/>
          <w:szCs w:val="32"/>
          <w:highlight w:val="none"/>
          <w:lang w:val="en-US" w:eastAsia="zh-CN" w:bidi="ar-SA"/>
        </w:rPr>
      </w:pPr>
      <w:bookmarkStart w:id="37" w:name="_GoBack"/>
      <w:bookmarkEnd w:id="37"/>
    </w:p>
    <w:sectPr>
      <w:headerReference r:id="rId8" w:type="default"/>
      <w:footerReference r:id="rId9" w:type="default"/>
      <w:pgSz w:w="11906" w:h="16838"/>
      <w:pgMar w:top="1440" w:right="1803" w:bottom="1440" w:left="1803"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ˎ̥">
    <w:altName w:val="Times New Roman"/>
    <w:panose1 w:val="00000000000000000000"/>
    <w:charset w:val="00"/>
    <w:family w:val="roman"/>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Georgia">
    <w:panose1 w:val="02040502050405020303"/>
    <w:charset w:val="00"/>
    <w:family w:val="roman"/>
    <w:pitch w:val="default"/>
    <w:sig w:usb0="00000287" w:usb1="00000000" w:usb2="00000000" w:usb3="00000000" w:csb0="2000009F" w:csb1="00000000"/>
  </w:font>
  <w:font w:name="等线">
    <w:panose1 w:val="02010600030101010101"/>
    <w:charset w:val="86"/>
    <w:family w:val="auto"/>
    <w:pitch w:val="default"/>
    <w:sig w:usb0="A00002BF" w:usb1="38CF7CFA" w:usb2="00000016" w:usb3="00000000" w:csb0="0004000F" w:csb1="00000000"/>
  </w:font>
  <w:font w:name="华文中宋">
    <w:panose1 w:val="02010600040101010101"/>
    <w:charset w:val="86"/>
    <w:family w:val="auto"/>
    <w:pitch w:val="default"/>
    <w:sig w:usb0="00000287" w:usb1="080F0000" w:usb2="00000000" w:usb3="00000000" w:csb0="0004009F" w:csb1="DFD70000"/>
  </w:font>
  <w:font w:name="Wingdings 2">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87AE8F">
    <w:pPr>
      <w:pStyle w:val="19"/>
      <w:jc w:val="center"/>
      <w:rPr>
        <w:rFonts w:ascii="Times New Roman" w:hAnsi="Times New Roman" w:cs="Times New Roman"/>
      </w:rPr>
    </w:pPr>
  </w:p>
  <w:p w14:paraId="77BA2816">
    <w:pPr>
      <w:pStyle w:val="19"/>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14:paraId="0F0C08A1">
        <w:pPr>
          <w:pStyle w:val="19"/>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14:paraId="08607EDF">
    <w:pPr>
      <w:pStyle w:val="19"/>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AA5A12">
    <w:pPr>
      <w:pStyle w:val="19"/>
      <w:rPr>
        <w:rFonts w:ascii="Times New Roman" w:hAnsi="Times New Roman" w:cs="Times New Roman"/>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96" name="文本框 2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531263">
                          <w:pPr>
                            <w:pStyle w:val="1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obZAQ0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cnbKSWaKZT88uP7&#10;5efD5dc3Eg8hUW39HJE7i9jQvDMNGmc49ziMzJvCqfgFJwI/BD5fBRZNIDxemk1msxQuDt+wAX7y&#10;eN06H94Lo0g0MupQwVZYdtr60IUOITGbNptKyraKUpM6o9PXb9L2wtUDcKmRI5LoHhut0Oybntne&#10;5GcQc6brDm/5pkLyLfPhnjm0Ax6MgQl3WAppkMT0FiWlcV//dR7jUSV4KanRXhnVmCZK5AeN6gEw&#10;DIYbjP1g6KO6NejXMQbR8tbEBRfkYBbOqC+YolXMARfTHJkyGgbzNnQtjinkYrVqg47WVYeyu4De&#10;syxs9c7ymCYK6e3qGCBmq3EUqFOl1w3d11apn5TY3n/u26jHv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qG2QENAIAAGUEAAAOAAAAAAAAAAEAIAAAAB8BAABkcnMvZTJvRG9jLnhtbFBL&#10;BQYAAAAABgAGAFkBAADFBQAAAAA=&#10;">
              <v:fill on="f" focussize="0,0"/>
              <v:stroke on="f" weight="0.5pt"/>
              <v:imagedata o:title=""/>
              <o:lock v:ext="edit" aspectratio="f"/>
              <v:textbox inset="0mm,0mm,0mm,0mm" style="mso-fit-shape-to-text:t;">
                <w:txbxContent>
                  <w:p w14:paraId="52531263">
                    <w:pPr>
                      <w:pStyle w:val="1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222E00">
    <w:pPr>
      <w:pStyle w:val="19"/>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00" name="文本框 3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8AEA2E">
                          <w:pPr>
                            <w:pStyle w:val="19"/>
                          </w:pPr>
                          <w:r>
                            <w:fldChar w:fldCharType="begin"/>
                          </w:r>
                          <w:r>
                            <w:instrText xml:space="preserve"> PAGE  \* MERGEFORMAT </w:instrText>
                          </w:r>
                          <w:r>
                            <w:fldChar w:fldCharType="separate"/>
                          </w:r>
                          <w:r>
                            <w:t>121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5FtwYz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jaGKYRsnPP76f&#10;f/4+//pG0iEkql2YI/LBITY272yDxhnOAw4T86b0On3BicAPsNNFYNFEwtOl2XQ2S3k4fMMG+NnT&#10;dedDfC+sJsnIqUcFW2HZcRtiFzqEpGzGbqRSbRWVIXVOr6/ejtsLFw/AlUGORKJ7bLJis2t6Zjtb&#10;nEDM2647guMbieRbFuI982gHPBgDE++wlMoiie0tSirrv/7rPMWjSvBSUqO9cmowTZSoDwbVA2Ac&#10;DD8Yu8EwB31r0a8TDKLjrYkLPqrBLL3VXzBFq5QDLmY4MuU0DuZt7FocU8jFatUGHZyX+6q7gN5z&#10;LG7Ng+MpTRIyuNUhQsxW4yRQp0qvG7qvrVI/Kam9/9y3UU9/h+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5FtwYzAgAAZQQAAA4AAAAAAAAAAQAgAAAAHwEAAGRycy9lMm9Eb2MueG1sUEsF&#10;BgAAAAAGAAYAWQEAAMQFAAAAAA==&#10;">
              <v:fill on="f" focussize="0,0"/>
              <v:stroke on="f" weight="0.5pt"/>
              <v:imagedata o:title=""/>
              <o:lock v:ext="edit" aspectratio="f"/>
              <v:textbox inset="0mm,0mm,0mm,0mm" style="mso-fit-shape-to-text:t;">
                <w:txbxContent>
                  <w:p w14:paraId="3A8AEA2E">
                    <w:pPr>
                      <w:pStyle w:val="19"/>
                    </w:pPr>
                    <w:r>
                      <w:fldChar w:fldCharType="begin"/>
                    </w:r>
                    <w:r>
                      <w:instrText xml:space="preserve"> PAGE  \* MERGEFORMAT </w:instrText>
                    </w:r>
                    <w:r>
                      <w:fldChar w:fldCharType="separate"/>
                    </w:r>
                    <w:r>
                      <w:t>121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61ED4F">
    <w:pPr>
      <w:pStyle w:val="2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74B3FA">
    <w:pPr>
      <w:pStyle w:val="20"/>
      <w:rPr>
        <w:rFonts w:hint="eastAsia" w:eastAsiaTheme="minorEastAsia"/>
        <w:lang w:eastAsia="zh-CN"/>
      </w:rPr>
    </w:pPr>
    <w:r>
      <w:rPr>
        <w:rFonts w:hint="eastAsia"/>
        <w:lang w:eastAsia="zh-CN"/>
      </w:rPr>
      <w:t>浙江汇鼎新材料有限公司年</w:t>
    </w:r>
    <w:r>
      <w:rPr>
        <w:rFonts w:hint="default" w:ascii="Times New Roman" w:hAnsi="Times New Roman" w:cs="Times New Roman"/>
        <w:lang w:eastAsia="zh-CN"/>
      </w:rPr>
      <w:t>产10000万平方米耐碱玻纤网格</w:t>
    </w:r>
    <w:r>
      <w:rPr>
        <w:rFonts w:hint="eastAsia"/>
        <w:lang w:eastAsia="zh-CN"/>
      </w:rPr>
      <w:t>布项目</w:t>
    </w:r>
  </w:p>
  <w:p w14:paraId="6321CA91">
    <w:pPr>
      <w:pStyle w:val="20"/>
    </w:pPr>
    <w:r>
      <w:rPr>
        <w:rFonts w:hint="eastAsia"/>
        <w:lang w:eastAsia="zh-CN"/>
      </w:rPr>
      <w:t>（</w:t>
    </w:r>
    <w:r>
      <w:rPr>
        <w:rFonts w:hint="eastAsia"/>
        <w:lang w:val="en-US" w:eastAsia="zh-CN"/>
      </w:rPr>
      <w:t>先行</w:t>
    </w:r>
    <w:r>
      <w:rPr>
        <w:rFonts w:hint="eastAsia"/>
        <w:lang w:eastAsia="zh-CN"/>
      </w:rPr>
      <w:t>）竣工环境保护验收监测</w:t>
    </w:r>
    <w:r>
      <w:rPr>
        <w:rFonts w:hint="eastAsia"/>
      </w:rPr>
      <w:t>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E4C0C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B2F4F7"/>
    <w:multiLevelType w:val="singleLevel"/>
    <w:tmpl w:val="B4B2F4F7"/>
    <w:lvl w:ilvl="0" w:tentative="0">
      <w:start w:val="1"/>
      <w:numFmt w:val="decimal"/>
      <w:suff w:val="nothing"/>
      <w:lvlText w:val="（%1）"/>
      <w:lvlJc w:val="left"/>
    </w:lvl>
  </w:abstractNum>
  <w:abstractNum w:abstractNumId="1">
    <w:nsid w:val="2E30EEEE"/>
    <w:multiLevelType w:val="singleLevel"/>
    <w:tmpl w:val="2E30EEEE"/>
    <w:lvl w:ilvl="0" w:tentative="0">
      <w:start w:val="1"/>
      <w:numFmt w:val="decimal"/>
      <w:suff w:val="nothing"/>
      <w:lvlText w:val="%1、"/>
      <w:lvlJc w:val="left"/>
    </w:lvl>
  </w:abstractNum>
  <w:abstractNum w:abstractNumId="2">
    <w:nsid w:val="512FA840"/>
    <w:multiLevelType w:val="singleLevel"/>
    <w:tmpl w:val="512FA840"/>
    <w:lvl w:ilvl="0" w:tentative="0">
      <w:start w:val="1"/>
      <w:numFmt w:val="decimal"/>
      <w:suff w:val="nothing"/>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HorizontalSpacing w:val="105"/>
  <w:drawingGridVerticalSpacing w:val="164"/>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c5YjhhYTY3NjEyNDQxZjc1OWFlNDBhNDBlOTY4NzM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0C7"/>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3E1A91"/>
    <w:rsid w:val="01744452"/>
    <w:rsid w:val="017716F4"/>
    <w:rsid w:val="017A14D9"/>
    <w:rsid w:val="01D7725C"/>
    <w:rsid w:val="01D77756"/>
    <w:rsid w:val="01DB6F3E"/>
    <w:rsid w:val="02330D72"/>
    <w:rsid w:val="023968A3"/>
    <w:rsid w:val="025033FE"/>
    <w:rsid w:val="028265A2"/>
    <w:rsid w:val="02A76009"/>
    <w:rsid w:val="02C76577"/>
    <w:rsid w:val="02D150FD"/>
    <w:rsid w:val="02D41224"/>
    <w:rsid w:val="02FF4C10"/>
    <w:rsid w:val="03003F43"/>
    <w:rsid w:val="03216031"/>
    <w:rsid w:val="03561F09"/>
    <w:rsid w:val="036601BF"/>
    <w:rsid w:val="039216B8"/>
    <w:rsid w:val="03B145CA"/>
    <w:rsid w:val="03BE44B1"/>
    <w:rsid w:val="03CC4AF9"/>
    <w:rsid w:val="03FB660C"/>
    <w:rsid w:val="044C330C"/>
    <w:rsid w:val="047549BC"/>
    <w:rsid w:val="05062463"/>
    <w:rsid w:val="059F3D1A"/>
    <w:rsid w:val="05F66884"/>
    <w:rsid w:val="06585E79"/>
    <w:rsid w:val="067B4063"/>
    <w:rsid w:val="06E0107D"/>
    <w:rsid w:val="07100953"/>
    <w:rsid w:val="07283BBC"/>
    <w:rsid w:val="073A689E"/>
    <w:rsid w:val="0767441E"/>
    <w:rsid w:val="077706A0"/>
    <w:rsid w:val="07840E49"/>
    <w:rsid w:val="0789674E"/>
    <w:rsid w:val="07944DAE"/>
    <w:rsid w:val="07BB67DE"/>
    <w:rsid w:val="084676A7"/>
    <w:rsid w:val="085E6217"/>
    <w:rsid w:val="08824CDD"/>
    <w:rsid w:val="08852948"/>
    <w:rsid w:val="0885375D"/>
    <w:rsid w:val="089A08E7"/>
    <w:rsid w:val="08AF5C22"/>
    <w:rsid w:val="08C2618B"/>
    <w:rsid w:val="096802A0"/>
    <w:rsid w:val="09A02495"/>
    <w:rsid w:val="09BC4039"/>
    <w:rsid w:val="09D75426"/>
    <w:rsid w:val="09F70C3A"/>
    <w:rsid w:val="0A650C83"/>
    <w:rsid w:val="0A6758AB"/>
    <w:rsid w:val="0ADD2B47"/>
    <w:rsid w:val="0AEF236F"/>
    <w:rsid w:val="0B1547D1"/>
    <w:rsid w:val="0B80127A"/>
    <w:rsid w:val="0B8B1247"/>
    <w:rsid w:val="0BAA3E40"/>
    <w:rsid w:val="0BD3335F"/>
    <w:rsid w:val="0BF82B2B"/>
    <w:rsid w:val="0C063DA0"/>
    <w:rsid w:val="0C9320C3"/>
    <w:rsid w:val="0CAC4948"/>
    <w:rsid w:val="0CB01097"/>
    <w:rsid w:val="0CC04897"/>
    <w:rsid w:val="0CC86413"/>
    <w:rsid w:val="0CD520F0"/>
    <w:rsid w:val="0D0F5858"/>
    <w:rsid w:val="0D5A2050"/>
    <w:rsid w:val="0D6136C2"/>
    <w:rsid w:val="0D8F333E"/>
    <w:rsid w:val="0DC146D0"/>
    <w:rsid w:val="0E247538"/>
    <w:rsid w:val="0E2D3854"/>
    <w:rsid w:val="0E9D4E90"/>
    <w:rsid w:val="0EF15C42"/>
    <w:rsid w:val="0F191488"/>
    <w:rsid w:val="0F2C6214"/>
    <w:rsid w:val="0F476BAA"/>
    <w:rsid w:val="0F6239E3"/>
    <w:rsid w:val="0FA75CED"/>
    <w:rsid w:val="1002237D"/>
    <w:rsid w:val="10046B7B"/>
    <w:rsid w:val="102A63FC"/>
    <w:rsid w:val="1032785A"/>
    <w:rsid w:val="103B4960"/>
    <w:rsid w:val="105E2DCF"/>
    <w:rsid w:val="106C2E87"/>
    <w:rsid w:val="10CC380A"/>
    <w:rsid w:val="10DD4E33"/>
    <w:rsid w:val="11235435"/>
    <w:rsid w:val="115A302A"/>
    <w:rsid w:val="115A78B9"/>
    <w:rsid w:val="11734152"/>
    <w:rsid w:val="117369C6"/>
    <w:rsid w:val="11A976A8"/>
    <w:rsid w:val="11BC1869"/>
    <w:rsid w:val="120572AA"/>
    <w:rsid w:val="127F3835"/>
    <w:rsid w:val="12D82A7F"/>
    <w:rsid w:val="12F70852"/>
    <w:rsid w:val="13557CF8"/>
    <w:rsid w:val="13816A4E"/>
    <w:rsid w:val="13925BDC"/>
    <w:rsid w:val="13E15DC0"/>
    <w:rsid w:val="142A5FDC"/>
    <w:rsid w:val="147D1E66"/>
    <w:rsid w:val="149641DD"/>
    <w:rsid w:val="14C721CE"/>
    <w:rsid w:val="14CC22D8"/>
    <w:rsid w:val="14E77BEC"/>
    <w:rsid w:val="14F90946"/>
    <w:rsid w:val="151678B7"/>
    <w:rsid w:val="15C42D41"/>
    <w:rsid w:val="16DA4BC8"/>
    <w:rsid w:val="171B3855"/>
    <w:rsid w:val="17566BCD"/>
    <w:rsid w:val="17621497"/>
    <w:rsid w:val="176A78D9"/>
    <w:rsid w:val="17EA02BE"/>
    <w:rsid w:val="17FD1038"/>
    <w:rsid w:val="183A3A61"/>
    <w:rsid w:val="184619A9"/>
    <w:rsid w:val="188712AB"/>
    <w:rsid w:val="191A276A"/>
    <w:rsid w:val="191C4C03"/>
    <w:rsid w:val="19461494"/>
    <w:rsid w:val="196179B9"/>
    <w:rsid w:val="196D7FAB"/>
    <w:rsid w:val="19722A75"/>
    <w:rsid w:val="197C68BD"/>
    <w:rsid w:val="199C457B"/>
    <w:rsid w:val="19BD691C"/>
    <w:rsid w:val="1A034C6B"/>
    <w:rsid w:val="1A065282"/>
    <w:rsid w:val="1A2F0966"/>
    <w:rsid w:val="1A78230D"/>
    <w:rsid w:val="1A9B2E4A"/>
    <w:rsid w:val="1A9C3B77"/>
    <w:rsid w:val="1AA0627A"/>
    <w:rsid w:val="1ACE4623"/>
    <w:rsid w:val="1B261D69"/>
    <w:rsid w:val="1B520DB0"/>
    <w:rsid w:val="1B8825E9"/>
    <w:rsid w:val="1B8E527A"/>
    <w:rsid w:val="1B940E1F"/>
    <w:rsid w:val="1BE54015"/>
    <w:rsid w:val="1C2269D4"/>
    <w:rsid w:val="1C475483"/>
    <w:rsid w:val="1C5F77F7"/>
    <w:rsid w:val="1C713F93"/>
    <w:rsid w:val="1C8F393E"/>
    <w:rsid w:val="1CE26164"/>
    <w:rsid w:val="1D165A2D"/>
    <w:rsid w:val="1D4420FD"/>
    <w:rsid w:val="1D4C39C1"/>
    <w:rsid w:val="1D9751A0"/>
    <w:rsid w:val="1D9C4EF4"/>
    <w:rsid w:val="1DA66F34"/>
    <w:rsid w:val="1DB7139E"/>
    <w:rsid w:val="1DF15646"/>
    <w:rsid w:val="1DFB07D0"/>
    <w:rsid w:val="1E535DA0"/>
    <w:rsid w:val="1E993EF6"/>
    <w:rsid w:val="1EBE483A"/>
    <w:rsid w:val="1EC6474E"/>
    <w:rsid w:val="1EDD4E34"/>
    <w:rsid w:val="1F22412F"/>
    <w:rsid w:val="1F26030B"/>
    <w:rsid w:val="1F36366C"/>
    <w:rsid w:val="1F4C2EB2"/>
    <w:rsid w:val="1F92657B"/>
    <w:rsid w:val="1FBC1843"/>
    <w:rsid w:val="1FE23C1B"/>
    <w:rsid w:val="20330D9A"/>
    <w:rsid w:val="20477A8D"/>
    <w:rsid w:val="20634019"/>
    <w:rsid w:val="2079293B"/>
    <w:rsid w:val="20AE2CED"/>
    <w:rsid w:val="20BC1406"/>
    <w:rsid w:val="20CC3062"/>
    <w:rsid w:val="20D364EF"/>
    <w:rsid w:val="214B42D7"/>
    <w:rsid w:val="216D5AE0"/>
    <w:rsid w:val="21796EAA"/>
    <w:rsid w:val="217E26F0"/>
    <w:rsid w:val="218B7932"/>
    <w:rsid w:val="21C463C3"/>
    <w:rsid w:val="21C4677D"/>
    <w:rsid w:val="22315588"/>
    <w:rsid w:val="225C2514"/>
    <w:rsid w:val="22631C71"/>
    <w:rsid w:val="2284054C"/>
    <w:rsid w:val="22CF00D7"/>
    <w:rsid w:val="22E66A16"/>
    <w:rsid w:val="22FB138C"/>
    <w:rsid w:val="231460DF"/>
    <w:rsid w:val="23240BAA"/>
    <w:rsid w:val="23CF6990"/>
    <w:rsid w:val="24384B1E"/>
    <w:rsid w:val="249B7324"/>
    <w:rsid w:val="24DD5B8E"/>
    <w:rsid w:val="24EA02AB"/>
    <w:rsid w:val="24F93EC4"/>
    <w:rsid w:val="25157CC3"/>
    <w:rsid w:val="258B59AA"/>
    <w:rsid w:val="25F211C5"/>
    <w:rsid w:val="26093064"/>
    <w:rsid w:val="26141EF0"/>
    <w:rsid w:val="26494E9F"/>
    <w:rsid w:val="265406E6"/>
    <w:rsid w:val="266B71CA"/>
    <w:rsid w:val="26A61E1D"/>
    <w:rsid w:val="26D66A8B"/>
    <w:rsid w:val="270A586B"/>
    <w:rsid w:val="270D4B12"/>
    <w:rsid w:val="273075E9"/>
    <w:rsid w:val="27735192"/>
    <w:rsid w:val="27DF1A02"/>
    <w:rsid w:val="284B72B3"/>
    <w:rsid w:val="28530929"/>
    <w:rsid w:val="28A40F5A"/>
    <w:rsid w:val="28E413A9"/>
    <w:rsid w:val="293B7327"/>
    <w:rsid w:val="294A461D"/>
    <w:rsid w:val="297F22C9"/>
    <w:rsid w:val="2A633A91"/>
    <w:rsid w:val="2A6E2796"/>
    <w:rsid w:val="2A6F5228"/>
    <w:rsid w:val="2AAB5DE7"/>
    <w:rsid w:val="2B310ADE"/>
    <w:rsid w:val="2B434183"/>
    <w:rsid w:val="2B740262"/>
    <w:rsid w:val="2B8A2EBE"/>
    <w:rsid w:val="2BB44F08"/>
    <w:rsid w:val="2C1C51EE"/>
    <w:rsid w:val="2C3F2ED9"/>
    <w:rsid w:val="2C6D3825"/>
    <w:rsid w:val="2C7A1F15"/>
    <w:rsid w:val="2C9C00DD"/>
    <w:rsid w:val="2C9E6165"/>
    <w:rsid w:val="2CC34823"/>
    <w:rsid w:val="2CC4441B"/>
    <w:rsid w:val="2CFA4581"/>
    <w:rsid w:val="2D496D6C"/>
    <w:rsid w:val="2D807458"/>
    <w:rsid w:val="2DC0604D"/>
    <w:rsid w:val="2DFD2857"/>
    <w:rsid w:val="2E1C1D98"/>
    <w:rsid w:val="2E220AB6"/>
    <w:rsid w:val="2E2E2E1B"/>
    <w:rsid w:val="2E4715EC"/>
    <w:rsid w:val="2E735C57"/>
    <w:rsid w:val="2E9071FD"/>
    <w:rsid w:val="2EBD5129"/>
    <w:rsid w:val="2F6F6E1B"/>
    <w:rsid w:val="2F741EB5"/>
    <w:rsid w:val="2FC140F6"/>
    <w:rsid w:val="2FDF0D09"/>
    <w:rsid w:val="3034687E"/>
    <w:rsid w:val="306C74DB"/>
    <w:rsid w:val="30A6701D"/>
    <w:rsid w:val="31322664"/>
    <w:rsid w:val="31722FE0"/>
    <w:rsid w:val="31F44517"/>
    <w:rsid w:val="322C1F03"/>
    <w:rsid w:val="323F3BB2"/>
    <w:rsid w:val="325B1BA4"/>
    <w:rsid w:val="32C02906"/>
    <w:rsid w:val="32FF13C6"/>
    <w:rsid w:val="332B4CEF"/>
    <w:rsid w:val="335F1E64"/>
    <w:rsid w:val="3366590B"/>
    <w:rsid w:val="33D76E16"/>
    <w:rsid w:val="33DC1920"/>
    <w:rsid w:val="33E92385"/>
    <w:rsid w:val="342B6B35"/>
    <w:rsid w:val="34556DF8"/>
    <w:rsid w:val="34BB2DE3"/>
    <w:rsid w:val="34BD2D0D"/>
    <w:rsid w:val="34F97947"/>
    <w:rsid w:val="35271A88"/>
    <w:rsid w:val="353026EC"/>
    <w:rsid w:val="35470759"/>
    <w:rsid w:val="35505F08"/>
    <w:rsid w:val="35535660"/>
    <w:rsid w:val="35A93AB0"/>
    <w:rsid w:val="35D15757"/>
    <w:rsid w:val="3641735B"/>
    <w:rsid w:val="364315C9"/>
    <w:rsid w:val="367D1A8A"/>
    <w:rsid w:val="36984C0C"/>
    <w:rsid w:val="36B82D51"/>
    <w:rsid w:val="36E36908"/>
    <w:rsid w:val="3752327D"/>
    <w:rsid w:val="377F6C02"/>
    <w:rsid w:val="381D5C73"/>
    <w:rsid w:val="38491CD3"/>
    <w:rsid w:val="386F0A67"/>
    <w:rsid w:val="38882E57"/>
    <w:rsid w:val="388A34DF"/>
    <w:rsid w:val="38DA5C4F"/>
    <w:rsid w:val="38EB3BFB"/>
    <w:rsid w:val="39473D32"/>
    <w:rsid w:val="397B6D55"/>
    <w:rsid w:val="39930ABA"/>
    <w:rsid w:val="39A14F85"/>
    <w:rsid w:val="3A323902"/>
    <w:rsid w:val="3A371445"/>
    <w:rsid w:val="3AC77189"/>
    <w:rsid w:val="3B1B7AF4"/>
    <w:rsid w:val="3B5A363D"/>
    <w:rsid w:val="3B602C1D"/>
    <w:rsid w:val="3BF761EC"/>
    <w:rsid w:val="3C0055D5"/>
    <w:rsid w:val="3C0D4642"/>
    <w:rsid w:val="3C85086F"/>
    <w:rsid w:val="3C8A2C4C"/>
    <w:rsid w:val="3CC82D3F"/>
    <w:rsid w:val="3D241A3D"/>
    <w:rsid w:val="3D456A74"/>
    <w:rsid w:val="3D474095"/>
    <w:rsid w:val="3D5B3BA3"/>
    <w:rsid w:val="3D626685"/>
    <w:rsid w:val="3D676141"/>
    <w:rsid w:val="3DCB7481"/>
    <w:rsid w:val="3DD15DCE"/>
    <w:rsid w:val="3E15268D"/>
    <w:rsid w:val="3E377C66"/>
    <w:rsid w:val="3E533253"/>
    <w:rsid w:val="3ED71449"/>
    <w:rsid w:val="3EF20F51"/>
    <w:rsid w:val="3F5908C8"/>
    <w:rsid w:val="3F6B2313"/>
    <w:rsid w:val="3F9435DE"/>
    <w:rsid w:val="3F9B0E28"/>
    <w:rsid w:val="3FEB6924"/>
    <w:rsid w:val="412F42AE"/>
    <w:rsid w:val="41A403BF"/>
    <w:rsid w:val="41B44926"/>
    <w:rsid w:val="41CA2B9F"/>
    <w:rsid w:val="41F41349"/>
    <w:rsid w:val="421B33FA"/>
    <w:rsid w:val="421C7C01"/>
    <w:rsid w:val="42254279"/>
    <w:rsid w:val="42716C9F"/>
    <w:rsid w:val="4297091B"/>
    <w:rsid w:val="43560452"/>
    <w:rsid w:val="436E436E"/>
    <w:rsid w:val="437454B8"/>
    <w:rsid w:val="43C4718C"/>
    <w:rsid w:val="43EF11CE"/>
    <w:rsid w:val="43F27A32"/>
    <w:rsid w:val="448B4CB8"/>
    <w:rsid w:val="44F20D8A"/>
    <w:rsid w:val="44FC16C2"/>
    <w:rsid w:val="45140D01"/>
    <w:rsid w:val="45230F44"/>
    <w:rsid w:val="45242531"/>
    <w:rsid w:val="45283FCD"/>
    <w:rsid w:val="459E681C"/>
    <w:rsid w:val="45BF6C2D"/>
    <w:rsid w:val="45E45B8C"/>
    <w:rsid w:val="46090C82"/>
    <w:rsid w:val="460A487E"/>
    <w:rsid w:val="46414AF7"/>
    <w:rsid w:val="46463FF3"/>
    <w:rsid w:val="46780ADA"/>
    <w:rsid w:val="46B92953"/>
    <w:rsid w:val="471F580B"/>
    <w:rsid w:val="47494FB0"/>
    <w:rsid w:val="47684EF0"/>
    <w:rsid w:val="476B3C00"/>
    <w:rsid w:val="480F4FB9"/>
    <w:rsid w:val="4832396D"/>
    <w:rsid w:val="4839249D"/>
    <w:rsid w:val="487A33DC"/>
    <w:rsid w:val="48BF0BC4"/>
    <w:rsid w:val="48BF4A4F"/>
    <w:rsid w:val="493518F0"/>
    <w:rsid w:val="49ED618C"/>
    <w:rsid w:val="49FC29AC"/>
    <w:rsid w:val="49FD4853"/>
    <w:rsid w:val="4A0A4941"/>
    <w:rsid w:val="4ADA2AD9"/>
    <w:rsid w:val="4B0143E1"/>
    <w:rsid w:val="4B9C1904"/>
    <w:rsid w:val="4BAA5B68"/>
    <w:rsid w:val="4BBE00C5"/>
    <w:rsid w:val="4BC64EA2"/>
    <w:rsid w:val="4C2F00AF"/>
    <w:rsid w:val="4C457C34"/>
    <w:rsid w:val="4C66547F"/>
    <w:rsid w:val="4C673E0C"/>
    <w:rsid w:val="4CB84667"/>
    <w:rsid w:val="4CBA3A11"/>
    <w:rsid w:val="4D07114B"/>
    <w:rsid w:val="4D1625D7"/>
    <w:rsid w:val="4DDA72DE"/>
    <w:rsid w:val="4DEA70E8"/>
    <w:rsid w:val="4DF146DD"/>
    <w:rsid w:val="4E2536D7"/>
    <w:rsid w:val="4ED476A0"/>
    <w:rsid w:val="4EFF0C45"/>
    <w:rsid w:val="4F0E70D6"/>
    <w:rsid w:val="4F136945"/>
    <w:rsid w:val="4F1E3BEB"/>
    <w:rsid w:val="4F700672"/>
    <w:rsid w:val="4FB13891"/>
    <w:rsid w:val="50126ED7"/>
    <w:rsid w:val="5043249A"/>
    <w:rsid w:val="50544319"/>
    <w:rsid w:val="507A2611"/>
    <w:rsid w:val="50C6487D"/>
    <w:rsid w:val="5123601C"/>
    <w:rsid w:val="512574F3"/>
    <w:rsid w:val="5133250E"/>
    <w:rsid w:val="51456BA8"/>
    <w:rsid w:val="51497F84"/>
    <w:rsid w:val="516E62A7"/>
    <w:rsid w:val="516F13BA"/>
    <w:rsid w:val="517563B4"/>
    <w:rsid w:val="51D07C79"/>
    <w:rsid w:val="51D35EC9"/>
    <w:rsid w:val="52392F01"/>
    <w:rsid w:val="52B64BB0"/>
    <w:rsid w:val="52CA0C50"/>
    <w:rsid w:val="52E32859"/>
    <w:rsid w:val="5339296C"/>
    <w:rsid w:val="53603399"/>
    <w:rsid w:val="5372025D"/>
    <w:rsid w:val="5378626D"/>
    <w:rsid w:val="53916831"/>
    <w:rsid w:val="53C964C7"/>
    <w:rsid w:val="543D5629"/>
    <w:rsid w:val="54660E4D"/>
    <w:rsid w:val="549C21E7"/>
    <w:rsid w:val="54E76694"/>
    <w:rsid w:val="55117558"/>
    <w:rsid w:val="55222306"/>
    <w:rsid w:val="558477DD"/>
    <w:rsid w:val="55AC5A25"/>
    <w:rsid w:val="55C451AB"/>
    <w:rsid w:val="55D02A22"/>
    <w:rsid w:val="564C59CC"/>
    <w:rsid w:val="5661367A"/>
    <w:rsid w:val="567A298E"/>
    <w:rsid w:val="568E507F"/>
    <w:rsid w:val="56917640"/>
    <w:rsid w:val="570F122C"/>
    <w:rsid w:val="57212E09"/>
    <w:rsid w:val="57777B7B"/>
    <w:rsid w:val="578F06BB"/>
    <w:rsid w:val="57A06E0E"/>
    <w:rsid w:val="57EC7962"/>
    <w:rsid w:val="57F52AEB"/>
    <w:rsid w:val="580503C9"/>
    <w:rsid w:val="580C3AB9"/>
    <w:rsid w:val="58C20BB3"/>
    <w:rsid w:val="590C6E73"/>
    <w:rsid w:val="59181E06"/>
    <w:rsid w:val="592F1D82"/>
    <w:rsid w:val="59873E4B"/>
    <w:rsid w:val="59B66C38"/>
    <w:rsid w:val="5A201A9E"/>
    <w:rsid w:val="5A425BE3"/>
    <w:rsid w:val="5A6776CD"/>
    <w:rsid w:val="5A884265"/>
    <w:rsid w:val="5A9F7590"/>
    <w:rsid w:val="5AB45FA0"/>
    <w:rsid w:val="5AC36B81"/>
    <w:rsid w:val="5AFC2B07"/>
    <w:rsid w:val="5AFF5FCD"/>
    <w:rsid w:val="5B9B5880"/>
    <w:rsid w:val="5BE0678D"/>
    <w:rsid w:val="5C237FC2"/>
    <w:rsid w:val="5C2B76EA"/>
    <w:rsid w:val="5C2F7D76"/>
    <w:rsid w:val="5C4557EC"/>
    <w:rsid w:val="5C8207EE"/>
    <w:rsid w:val="5C9B3876"/>
    <w:rsid w:val="5CA27F19"/>
    <w:rsid w:val="5CA50208"/>
    <w:rsid w:val="5D3612A4"/>
    <w:rsid w:val="5D562AEE"/>
    <w:rsid w:val="5E881790"/>
    <w:rsid w:val="5EC35F5B"/>
    <w:rsid w:val="5ECD6940"/>
    <w:rsid w:val="5ECF24C1"/>
    <w:rsid w:val="5EDC3E8A"/>
    <w:rsid w:val="5F1C0A86"/>
    <w:rsid w:val="5F225B08"/>
    <w:rsid w:val="5F3A7547"/>
    <w:rsid w:val="5F6D66D4"/>
    <w:rsid w:val="5F7F691E"/>
    <w:rsid w:val="5FA016B7"/>
    <w:rsid w:val="5FAE55E6"/>
    <w:rsid w:val="5FB07420"/>
    <w:rsid w:val="600514CA"/>
    <w:rsid w:val="60317250"/>
    <w:rsid w:val="604879FC"/>
    <w:rsid w:val="605E1725"/>
    <w:rsid w:val="607026CF"/>
    <w:rsid w:val="60965ED5"/>
    <w:rsid w:val="60CB6FF6"/>
    <w:rsid w:val="60E137E0"/>
    <w:rsid w:val="60F35816"/>
    <w:rsid w:val="610A53B4"/>
    <w:rsid w:val="61682ABC"/>
    <w:rsid w:val="616A4B60"/>
    <w:rsid w:val="61764D8F"/>
    <w:rsid w:val="618C673E"/>
    <w:rsid w:val="61955087"/>
    <w:rsid w:val="61DA16FE"/>
    <w:rsid w:val="623318AB"/>
    <w:rsid w:val="6271541F"/>
    <w:rsid w:val="628E46D9"/>
    <w:rsid w:val="62C456BC"/>
    <w:rsid w:val="62C54F90"/>
    <w:rsid w:val="62FC286E"/>
    <w:rsid w:val="630230AF"/>
    <w:rsid w:val="6336025A"/>
    <w:rsid w:val="63610531"/>
    <w:rsid w:val="637F27F8"/>
    <w:rsid w:val="638369E2"/>
    <w:rsid w:val="63A80498"/>
    <w:rsid w:val="63D80CF3"/>
    <w:rsid w:val="641D51C2"/>
    <w:rsid w:val="647B6D57"/>
    <w:rsid w:val="648B1224"/>
    <w:rsid w:val="64D313C9"/>
    <w:rsid w:val="64F73558"/>
    <w:rsid w:val="65071EE0"/>
    <w:rsid w:val="654D4BC2"/>
    <w:rsid w:val="657E01DC"/>
    <w:rsid w:val="65FA2417"/>
    <w:rsid w:val="65FC6E0D"/>
    <w:rsid w:val="661F3DF0"/>
    <w:rsid w:val="66246C4D"/>
    <w:rsid w:val="662E6A8A"/>
    <w:rsid w:val="66323ADF"/>
    <w:rsid w:val="66723681"/>
    <w:rsid w:val="66E40F2D"/>
    <w:rsid w:val="66E43F31"/>
    <w:rsid w:val="673724D9"/>
    <w:rsid w:val="67C808A2"/>
    <w:rsid w:val="67CE51E5"/>
    <w:rsid w:val="67DD2D7C"/>
    <w:rsid w:val="67EC7FC8"/>
    <w:rsid w:val="683C425A"/>
    <w:rsid w:val="68707745"/>
    <w:rsid w:val="68E36B91"/>
    <w:rsid w:val="69352407"/>
    <w:rsid w:val="69812FAE"/>
    <w:rsid w:val="69933ADC"/>
    <w:rsid w:val="69D34437"/>
    <w:rsid w:val="6A092274"/>
    <w:rsid w:val="6A206B82"/>
    <w:rsid w:val="6A4D243B"/>
    <w:rsid w:val="6B2036AC"/>
    <w:rsid w:val="6BCC3AF8"/>
    <w:rsid w:val="6C5D623A"/>
    <w:rsid w:val="6C5F6456"/>
    <w:rsid w:val="6CAA1122"/>
    <w:rsid w:val="6CD10152"/>
    <w:rsid w:val="6CFA4DBB"/>
    <w:rsid w:val="6D1E1E6D"/>
    <w:rsid w:val="6D333A0C"/>
    <w:rsid w:val="6D597F56"/>
    <w:rsid w:val="6D5E2D67"/>
    <w:rsid w:val="6D8F3983"/>
    <w:rsid w:val="6DF90F1A"/>
    <w:rsid w:val="6E121E06"/>
    <w:rsid w:val="6E4E0530"/>
    <w:rsid w:val="6E612F1D"/>
    <w:rsid w:val="6E7855AD"/>
    <w:rsid w:val="6E8E1863"/>
    <w:rsid w:val="6ECF7E2D"/>
    <w:rsid w:val="6F843BD5"/>
    <w:rsid w:val="6FED1FB3"/>
    <w:rsid w:val="70A91DA1"/>
    <w:rsid w:val="70D32842"/>
    <w:rsid w:val="71164676"/>
    <w:rsid w:val="714E7FB6"/>
    <w:rsid w:val="72161365"/>
    <w:rsid w:val="721C0443"/>
    <w:rsid w:val="725A5829"/>
    <w:rsid w:val="72646574"/>
    <w:rsid w:val="729B3E79"/>
    <w:rsid w:val="72AA5244"/>
    <w:rsid w:val="72CB5587"/>
    <w:rsid w:val="72CD7951"/>
    <w:rsid w:val="72D0654B"/>
    <w:rsid w:val="731F0608"/>
    <w:rsid w:val="73216213"/>
    <w:rsid w:val="73987BB2"/>
    <w:rsid w:val="73AA6208"/>
    <w:rsid w:val="73F92E92"/>
    <w:rsid w:val="747B69ED"/>
    <w:rsid w:val="747E7F0F"/>
    <w:rsid w:val="748910CC"/>
    <w:rsid w:val="74DC20AD"/>
    <w:rsid w:val="74ED196A"/>
    <w:rsid w:val="74EE3C45"/>
    <w:rsid w:val="7509173A"/>
    <w:rsid w:val="7523145D"/>
    <w:rsid w:val="75C92C3D"/>
    <w:rsid w:val="761F67D0"/>
    <w:rsid w:val="76327073"/>
    <w:rsid w:val="769211D6"/>
    <w:rsid w:val="76BF021D"/>
    <w:rsid w:val="76F61031"/>
    <w:rsid w:val="77B57C2A"/>
    <w:rsid w:val="77BA155E"/>
    <w:rsid w:val="77C635FA"/>
    <w:rsid w:val="77E912C9"/>
    <w:rsid w:val="7801342B"/>
    <w:rsid w:val="7803703B"/>
    <w:rsid w:val="783B7550"/>
    <w:rsid w:val="785030F6"/>
    <w:rsid w:val="785221EC"/>
    <w:rsid w:val="78B4702B"/>
    <w:rsid w:val="78F362FD"/>
    <w:rsid w:val="79044748"/>
    <w:rsid w:val="790560D9"/>
    <w:rsid w:val="790E0FE8"/>
    <w:rsid w:val="79585C99"/>
    <w:rsid w:val="796C4670"/>
    <w:rsid w:val="79B67BCA"/>
    <w:rsid w:val="79F04B91"/>
    <w:rsid w:val="7A346E45"/>
    <w:rsid w:val="7A52326B"/>
    <w:rsid w:val="7A6C26D0"/>
    <w:rsid w:val="7AAF0CA6"/>
    <w:rsid w:val="7AC57DCC"/>
    <w:rsid w:val="7AE20AD8"/>
    <w:rsid w:val="7AE570BB"/>
    <w:rsid w:val="7B4050A9"/>
    <w:rsid w:val="7B5522A9"/>
    <w:rsid w:val="7B8D1755"/>
    <w:rsid w:val="7BB3231A"/>
    <w:rsid w:val="7BE25C93"/>
    <w:rsid w:val="7C4D1E27"/>
    <w:rsid w:val="7C502792"/>
    <w:rsid w:val="7C903CAD"/>
    <w:rsid w:val="7C961A20"/>
    <w:rsid w:val="7CFB7625"/>
    <w:rsid w:val="7D3F76AE"/>
    <w:rsid w:val="7D6C4672"/>
    <w:rsid w:val="7DC27A61"/>
    <w:rsid w:val="7E3B7932"/>
    <w:rsid w:val="7E5A13E5"/>
    <w:rsid w:val="7E612A31"/>
    <w:rsid w:val="7E9E7142"/>
    <w:rsid w:val="7EA247DF"/>
    <w:rsid w:val="7EC9775F"/>
    <w:rsid w:val="7F071451"/>
    <w:rsid w:val="7F125264"/>
    <w:rsid w:val="7F205639"/>
    <w:rsid w:val="7F4A2D1B"/>
    <w:rsid w:val="7F59780C"/>
    <w:rsid w:val="7F5E259D"/>
    <w:rsid w:val="7FDC4172"/>
    <w:rsid w:val="7FF56A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link w:val="43"/>
    <w:qFormat/>
    <w:uiPriority w:val="99"/>
    <w:pPr>
      <w:keepNext/>
      <w:keepLines/>
      <w:spacing w:before="340" w:after="340" w:line="578" w:lineRule="auto"/>
      <w:outlineLvl w:val="0"/>
    </w:pPr>
    <w:rPr>
      <w:rFonts w:ascii="Times New Roman" w:hAnsi="Times New Roman"/>
      <w:b/>
      <w:bCs/>
      <w:kern w:val="44"/>
      <w:sz w:val="44"/>
      <w:szCs w:val="44"/>
    </w:rPr>
  </w:style>
  <w:style w:type="paragraph" w:styleId="5">
    <w:name w:val="heading 2"/>
    <w:basedOn w:val="1"/>
    <w:next w:val="1"/>
    <w:link w:val="46"/>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6">
    <w:name w:val="heading 3"/>
    <w:basedOn w:val="1"/>
    <w:next w:val="1"/>
    <w:link w:val="58"/>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4">
    <w:name w:val="Default Paragraph Font"/>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Normal Indent"/>
    <w:basedOn w:val="1"/>
    <w:next w:val="3"/>
    <w:link w:val="50"/>
    <w:qFormat/>
    <w:uiPriority w:val="99"/>
    <w:pPr>
      <w:spacing w:beforeLines="50" w:afterLines="50"/>
      <w:jc w:val="center"/>
    </w:pPr>
    <w:rPr>
      <w:rFonts w:ascii="Arial" w:hAnsi="Arial" w:eastAsia="宋体" w:cs="Times New Roman"/>
      <w:spacing w:val="10"/>
      <w:szCs w:val="20"/>
    </w:rPr>
  </w:style>
  <w:style w:type="paragraph" w:customStyle="1" w:styleId="3">
    <w:name w:val="正文首行缩进2个字 Char"/>
    <w:basedOn w:val="1"/>
    <w:qFormat/>
    <w:uiPriority w:val="0"/>
    <w:pPr>
      <w:ind w:firstLine="480" w:firstLineChars="200"/>
    </w:pPr>
    <w:rPr>
      <w:rFonts w:eastAsia="楷体"/>
      <w:sz w:val="24"/>
      <w:szCs w:val="24"/>
    </w:rPr>
  </w:style>
  <w:style w:type="paragraph" w:styleId="7">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8">
    <w:name w:val="Document Map"/>
    <w:basedOn w:val="1"/>
    <w:link w:val="44"/>
    <w:unhideWhenUsed/>
    <w:qFormat/>
    <w:uiPriority w:val="99"/>
    <w:rPr>
      <w:rFonts w:ascii="宋体" w:eastAsia="宋体"/>
      <w:sz w:val="18"/>
      <w:szCs w:val="18"/>
    </w:rPr>
  </w:style>
  <w:style w:type="paragraph" w:styleId="9">
    <w:name w:val="annotation text"/>
    <w:basedOn w:val="1"/>
    <w:link w:val="62"/>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0">
    <w:name w:val="Body Text"/>
    <w:basedOn w:val="1"/>
    <w:next w:val="2"/>
    <w:link w:val="86"/>
    <w:qFormat/>
    <w:uiPriority w:val="0"/>
    <w:rPr>
      <w:szCs w:val="24"/>
    </w:rPr>
  </w:style>
  <w:style w:type="paragraph" w:styleId="11">
    <w:name w:val="Body Text Indent"/>
    <w:basedOn w:val="1"/>
    <w:link w:val="74"/>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2">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3">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4">
    <w:name w:val="Plain Text"/>
    <w:basedOn w:val="1"/>
    <w:link w:val="88"/>
    <w:qFormat/>
    <w:uiPriority w:val="99"/>
    <w:pPr>
      <w:widowControl/>
      <w:spacing w:beforeAutospacing="1" w:afterAutospacing="1"/>
      <w:jc w:val="left"/>
    </w:pPr>
    <w:rPr>
      <w:rFonts w:ascii="ˎ̥" w:hAnsi="ˎ̥"/>
      <w:sz w:val="18"/>
      <w:szCs w:val="18"/>
    </w:rPr>
  </w:style>
  <w:style w:type="paragraph" w:styleId="15">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6">
    <w:name w:val="Date"/>
    <w:basedOn w:val="1"/>
    <w:next w:val="1"/>
    <w:link w:val="63"/>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17">
    <w:name w:val="Body Text Indent 2"/>
    <w:basedOn w:val="1"/>
    <w:link w:val="98"/>
    <w:unhideWhenUsed/>
    <w:qFormat/>
    <w:uiPriority w:val="99"/>
    <w:pPr>
      <w:spacing w:after="120" w:line="480" w:lineRule="auto"/>
      <w:ind w:left="420" w:leftChars="200"/>
    </w:pPr>
  </w:style>
  <w:style w:type="paragraph" w:styleId="18">
    <w:name w:val="Balloon Text"/>
    <w:basedOn w:val="1"/>
    <w:link w:val="49"/>
    <w:unhideWhenUsed/>
    <w:qFormat/>
    <w:uiPriority w:val="99"/>
    <w:rPr>
      <w:sz w:val="18"/>
      <w:szCs w:val="18"/>
    </w:rPr>
  </w:style>
  <w:style w:type="paragraph" w:styleId="19">
    <w:name w:val="footer"/>
    <w:basedOn w:val="1"/>
    <w:link w:val="42"/>
    <w:unhideWhenUsed/>
    <w:qFormat/>
    <w:uiPriority w:val="99"/>
    <w:pPr>
      <w:tabs>
        <w:tab w:val="center" w:pos="4153"/>
        <w:tab w:val="right" w:pos="8306"/>
      </w:tabs>
      <w:snapToGrid w:val="0"/>
      <w:jc w:val="left"/>
    </w:pPr>
    <w:rPr>
      <w:sz w:val="18"/>
      <w:szCs w:val="18"/>
    </w:rPr>
  </w:style>
  <w:style w:type="paragraph" w:styleId="20">
    <w:name w:val="header"/>
    <w:basedOn w:val="1"/>
    <w:link w:val="41"/>
    <w:unhideWhenUsed/>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22">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3">
    <w:name w:val="Subtitle"/>
    <w:basedOn w:val="1"/>
    <w:next w:val="1"/>
    <w:link w:val="64"/>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4">
    <w:name w:val="List"/>
    <w:basedOn w:val="1"/>
    <w:unhideWhenUsed/>
    <w:qFormat/>
    <w:uiPriority w:val="0"/>
    <w:pPr>
      <w:ind w:left="200" w:hanging="200" w:hangingChars="200"/>
      <w:contextualSpacing/>
    </w:pPr>
  </w:style>
  <w:style w:type="paragraph" w:styleId="25">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6">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7">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8">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9">
    <w:name w:val="Title"/>
    <w:basedOn w:val="1"/>
    <w:next w:val="1"/>
    <w:link w:val="59"/>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0">
    <w:name w:val="annotation subject"/>
    <w:basedOn w:val="9"/>
    <w:next w:val="9"/>
    <w:link w:val="73"/>
    <w:qFormat/>
    <w:uiPriority w:val="99"/>
    <w:pPr>
      <w:spacing w:beforeLines="0" w:afterLines="0" w:line="240" w:lineRule="auto"/>
      <w:ind w:firstLine="0" w:firstLineChars="0"/>
    </w:pPr>
    <w:rPr>
      <w:rFonts w:ascii="Calibri" w:hAnsi="Calibri"/>
      <w:b/>
      <w:bCs/>
      <w:sz w:val="21"/>
      <w:szCs w:val="22"/>
    </w:rPr>
  </w:style>
  <w:style w:type="paragraph" w:styleId="31">
    <w:name w:val="Body Text First Indent 2"/>
    <w:basedOn w:val="11"/>
    <w:qFormat/>
    <w:uiPriority w:val="0"/>
    <w:pPr>
      <w:spacing w:after="120"/>
      <w:ind w:left="420" w:leftChars="200" w:firstLine="420"/>
    </w:pPr>
  </w:style>
  <w:style w:type="table" w:styleId="33">
    <w:name w:val="Table Grid"/>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22"/>
    <w:rPr>
      <w:rFonts w:cs="Times New Roman"/>
      <w:b/>
      <w:bCs/>
    </w:rPr>
  </w:style>
  <w:style w:type="character" w:styleId="36">
    <w:name w:val="page number"/>
    <w:basedOn w:val="34"/>
    <w:qFormat/>
    <w:uiPriority w:val="99"/>
    <w:rPr>
      <w:rFonts w:cs="Times New Roman"/>
    </w:rPr>
  </w:style>
  <w:style w:type="character" w:styleId="37">
    <w:name w:val="Emphasis"/>
    <w:qFormat/>
    <w:uiPriority w:val="20"/>
    <w:rPr>
      <w:color w:val="CC0000"/>
    </w:rPr>
  </w:style>
  <w:style w:type="character" w:styleId="38">
    <w:name w:val="Hyperlink"/>
    <w:basedOn w:val="34"/>
    <w:unhideWhenUsed/>
    <w:qFormat/>
    <w:uiPriority w:val="99"/>
    <w:rPr>
      <w:color w:val="0000FF"/>
      <w:u w:val="single"/>
    </w:rPr>
  </w:style>
  <w:style w:type="character" w:styleId="39">
    <w:name w:val="annotation reference"/>
    <w:qFormat/>
    <w:uiPriority w:val="99"/>
    <w:rPr>
      <w:sz w:val="21"/>
      <w:szCs w:val="21"/>
    </w:rPr>
  </w:style>
  <w:style w:type="paragraph" w:customStyle="1" w:styleId="40">
    <w:name w:val="表格文字"/>
    <w:basedOn w:val="11"/>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1">
    <w:name w:val="页眉 字符"/>
    <w:basedOn w:val="34"/>
    <w:link w:val="20"/>
    <w:qFormat/>
    <w:uiPriority w:val="99"/>
    <w:rPr>
      <w:sz w:val="18"/>
      <w:szCs w:val="18"/>
    </w:rPr>
  </w:style>
  <w:style w:type="character" w:customStyle="1" w:styleId="42">
    <w:name w:val="页脚 字符"/>
    <w:basedOn w:val="34"/>
    <w:link w:val="19"/>
    <w:qFormat/>
    <w:uiPriority w:val="99"/>
    <w:rPr>
      <w:sz w:val="18"/>
      <w:szCs w:val="18"/>
    </w:rPr>
  </w:style>
  <w:style w:type="character" w:customStyle="1" w:styleId="43">
    <w:name w:val="标题 1 字符"/>
    <w:basedOn w:val="34"/>
    <w:link w:val="4"/>
    <w:qFormat/>
    <w:uiPriority w:val="99"/>
    <w:rPr>
      <w:rFonts w:ascii="Times New Roman" w:hAnsi="Times New Roman"/>
      <w:b/>
      <w:bCs/>
      <w:kern w:val="44"/>
      <w:sz w:val="44"/>
      <w:szCs w:val="44"/>
    </w:rPr>
  </w:style>
  <w:style w:type="character" w:customStyle="1" w:styleId="44">
    <w:name w:val="文档结构图 字符"/>
    <w:basedOn w:val="34"/>
    <w:link w:val="8"/>
    <w:qFormat/>
    <w:uiPriority w:val="99"/>
    <w:rPr>
      <w:rFonts w:ascii="宋体" w:eastAsia="宋体"/>
      <w:sz w:val="18"/>
      <w:szCs w:val="18"/>
    </w:rPr>
  </w:style>
  <w:style w:type="paragraph" w:customStyle="1" w:styleId="45">
    <w:name w:val="列表段落1"/>
    <w:basedOn w:val="1"/>
    <w:qFormat/>
    <w:uiPriority w:val="34"/>
    <w:pPr>
      <w:ind w:firstLine="420" w:firstLineChars="200"/>
    </w:pPr>
  </w:style>
  <w:style w:type="character" w:customStyle="1" w:styleId="46">
    <w:name w:val="标题 2 字符"/>
    <w:basedOn w:val="34"/>
    <w:link w:val="5"/>
    <w:qFormat/>
    <w:uiPriority w:val="99"/>
    <w:rPr>
      <w:rFonts w:ascii="Times New Roman" w:hAnsi="Times New Roman" w:eastAsiaTheme="majorEastAsia" w:cstheme="majorBidi"/>
      <w:b/>
      <w:bCs/>
      <w:sz w:val="32"/>
      <w:szCs w:val="32"/>
    </w:rPr>
  </w:style>
  <w:style w:type="character" w:customStyle="1" w:styleId="47">
    <w:name w:val="图片 Char"/>
    <w:basedOn w:val="34"/>
    <w:link w:val="48"/>
    <w:qFormat/>
    <w:uiPriority w:val="0"/>
    <w:rPr>
      <w:sz w:val="24"/>
      <w:szCs w:val="24"/>
    </w:rPr>
  </w:style>
  <w:style w:type="paragraph" w:customStyle="1" w:styleId="48">
    <w:name w:val="图片"/>
    <w:basedOn w:val="1"/>
    <w:link w:val="47"/>
    <w:qFormat/>
    <w:uiPriority w:val="0"/>
    <w:pPr>
      <w:spacing w:beforeLines="50" w:afterLines="50"/>
      <w:ind w:firstLine="480" w:firstLineChars="200"/>
      <w:jc w:val="left"/>
    </w:pPr>
    <w:rPr>
      <w:sz w:val="24"/>
      <w:szCs w:val="24"/>
    </w:rPr>
  </w:style>
  <w:style w:type="character" w:customStyle="1" w:styleId="49">
    <w:name w:val="批注框文本 字符"/>
    <w:basedOn w:val="34"/>
    <w:link w:val="18"/>
    <w:qFormat/>
    <w:uiPriority w:val="99"/>
    <w:rPr>
      <w:sz w:val="18"/>
      <w:szCs w:val="18"/>
    </w:rPr>
  </w:style>
  <w:style w:type="character" w:customStyle="1" w:styleId="50">
    <w:name w:val="正文缩进 字符"/>
    <w:link w:val="2"/>
    <w:qFormat/>
    <w:uiPriority w:val="99"/>
    <w:rPr>
      <w:rFonts w:ascii="Arial" w:hAnsi="Arial" w:eastAsia="宋体" w:cs="Times New Roman"/>
      <w:spacing w:val="10"/>
      <w:szCs w:val="20"/>
    </w:rPr>
  </w:style>
  <w:style w:type="paragraph" w:customStyle="1" w:styleId="51">
    <w:name w:val="表格标题"/>
    <w:basedOn w:val="1"/>
    <w:link w:val="52"/>
    <w:qFormat/>
    <w:uiPriority w:val="99"/>
    <w:pPr>
      <w:jc w:val="center"/>
    </w:pPr>
    <w:rPr>
      <w:rFonts w:ascii="Times New Roman" w:hAnsi="Times New Roman" w:eastAsia="仿宋_GB2312" w:cs="Times New Roman"/>
      <w:sz w:val="24"/>
      <w:szCs w:val="20"/>
    </w:rPr>
  </w:style>
  <w:style w:type="character" w:customStyle="1" w:styleId="52">
    <w:name w:val="表格标题 Char Char"/>
    <w:link w:val="51"/>
    <w:qFormat/>
    <w:uiPriority w:val="0"/>
    <w:rPr>
      <w:rFonts w:ascii="Times New Roman" w:hAnsi="Times New Roman" w:eastAsia="仿宋_GB2312" w:cs="Times New Roman"/>
      <w:sz w:val="24"/>
      <w:szCs w:val="20"/>
    </w:rPr>
  </w:style>
  <w:style w:type="character" w:customStyle="1" w:styleId="53">
    <w:name w:val="文本 Char"/>
    <w:link w:val="54"/>
    <w:qFormat/>
    <w:uiPriority w:val="0"/>
    <w:rPr>
      <w:sz w:val="24"/>
    </w:rPr>
  </w:style>
  <w:style w:type="paragraph" w:customStyle="1" w:styleId="54">
    <w:name w:val="文本"/>
    <w:basedOn w:val="1"/>
    <w:link w:val="53"/>
    <w:qFormat/>
    <w:uiPriority w:val="0"/>
    <w:pPr>
      <w:spacing w:line="360" w:lineRule="auto"/>
      <w:ind w:firstLine="480" w:firstLineChars="200"/>
      <w:jc w:val="left"/>
    </w:pPr>
    <w:rPr>
      <w:sz w:val="24"/>
    </w:rPr>
  </w:style>
  <w:style w:type="paragraph" w:customStyle="1" w:styleId="55">
    <w:name w:val="表格正文"/>
    <w:basedOn w:val="1"/>
    <w:link w:val="56"/>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6">
    <w:name w:val="表格正文 Char"/>
    <w:link w:val="55"/>
    <w:qFormat/>
    <w:uiPriority w:val="99"/>
    <w:rPr>
      <w:rFonts w:ascii="Times New Roman" w:hAnsi="Times New Roman" w:eastAsia="宋体" w:cs="Times New Roman"/>
      <w:sz w:val="24"/>
      <w:szCs w:val="24"/>
    </w:rPr>
  </w:style>
  <w:style w:type="paragraph" w:customStyle="1" w:styleId="57">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58">
    <w:name w:val="标题 3 字符"/>
    <w:basedOn w:val="34"/>
    <w:link w:val="6"/>
    <w:qFormat/>
    <w:uiPriority w:val="0"/>
    <w:rPr>
      <w:rFonts w:ascii="Times New Roman" w:hAnsi="Times New Roman"/>
      <w:b/>
      <w:bCs/>
      <w:sz w:val="28"/>
      <w:szCs w:val="32"/>
    </w:rPr>
  </w:style>
  <w:style w:type="character" w:customStyle="1" w:styleId="59">
    <w:name w:val="标题 字符"/>
    <w:basedOn w:val="34"/>
    <w:link w:val="29"/>
    <w:qFormat/>
    <w:uiPriority w:val="99"/>
    <w:rPr>
      <w:rFonts w:ascii="Cambria" w:hAnsi="Cambria" w:eastAsia="宋体" w:cs="Times New Roman"/>
      <w:b/>
      <w:bCs/>
      <w:sz w:val="32"/>
      <w:szCs w:val="32"/>
    </w:rPr>
  </w:style>
  <w:style w:type="paragraph" w:customStyle="1" w:styleId="60">
    <w:name w:val="表格式"/>
    <w:basedOn w:val="24"/>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1">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2">
    <w:name w:val="批注文字 字符"/>
    <w:basedOn w:val="34"/>
    <w:link w:val="9"/>
    <w:qFormat/>
    <w:uiPriority w:val="99"/>
    <w:rPr>
      <w:rFonts w:ascii="Times New Roman" w:hAnsi="Times New Roman" w:eastAsia="宋体" w:cs="Times New Roman"/>
      <w:sz w:val="24"/>
      <w:szCs w:val="24"/>
    </w:rPr>
  </w:style>
  <w:style w:type="character" w:customStyle="1" w:styleId="63">
    <w:name w:val="日期 字符"/>
    <w:basedOn w:val="34"/>
    <w:link w:val="16"/>
    <w:qFormat/>
    <w:uiPriority w:val="0"/>
    <w:rPr>
      <w:rFonts w:ascii="Times New Roman" w:hAnsi="Times New Roman" w:eastAsia="宋体" w:cs="Times New Roman"/>
      <w:sz w:val="24"/>
      <w:szCs w:val="24"/>
    </w:rPr>
  </w:style>
  <w:style w:type="character" w:customStyle="1" w:styleId="64">
    <w:name w:val="副标题 字符"/>
    <w:basedOn w:val="34"/>
    <w:link w:val="23"/>
    <w:qFormat/>
    <w:uiPriority w:val="0"/>
    <w:rPr>
      <w:rFonts w:ascii="Cambria" w:hAnsi="Cambria" w:eastAsia="宋体" w:cs="Times New Roman"/>
      <w:b/>
      <w:bCs/>
      <w:kern w:val="28"/>
      <w:sz w:val="28"/>
      <w:szCs w:val="32"/>
    </w:rPr>
  </w:style>
  <w:style w:type="character" w:customStyle="1" w:styleId="65">
    <w:name w:val="表格内容 Char Char"/>
    <w:basedOn w:val="34"/>
    <w:link w:val="66"/>
    <w:qFormat/>
    <w:uiPriority w:val="0"/>
    <w:rPr>
      <w:rFonts w:ascii="宋体"/>
      <w:szCs w:val="24"/>
    </w:rPr>
  </w:style>
  <w:style w:type="paragraph" w:customStyle="1" w:styleId="66">
    <w:name w:val="表格内容"/>
    <w:basedOn w:val="1"/>
    <w:link w:val="65"/>
    <w:qFormat/>
    <w:uiPriority w:val="0"/>
    <w:pPr>
      <w:spacing w:beforeLines="50" w:afterLines="50" w:line="360" w:lineRule="auto"/>
      <w:ind w:firstLine="200" w:firstLineChars="200"/>
      <w:jc w:val="center"/>
    </w:pPr>
    <w:rPr>
      <w:rFonts w:ascii="宋体"/>
      <w:szCs w:val="24"/>
    </w:rPr>
  </w:style>
  <w:style w:type="character" w:customStyle="1" w:styleId="67">
    <w:name w:val="正文缩进 Char2"/>
    <w:qFormat/>
    <w:uiPriority w:val="0"/>
    <w:rPr>
      <w:rFonts w:ascii="Arial" w:hAnsi="Arial" w:cs="Arial"/>
      <w:spacing w:val="10"/>
      <w:kern w:val="2"/>
      <w:sz w:val="24"/>
    </w:rPr>
  </w:style>
  <w:style w:type="paragraph" w:customStyle="1" w:styleId="68">
    <w:name w:val="Char4"/>
    <w:basedOn w:val="1"/>
    <w:qFormat/>
    <w:uiPriority w:val="0"/>
    <w:rPr>
      <w:rFonts w:ascii="Times New Roman" w:hAnsi="Times New Roman" w:eastAsia="宋体" w:cs="Times New Roman"/>
      <w:szCs w:val="20"/>
    </w:rPr>
  </w:style>
  <w:style w:type="paragraph" w:customStyle="1" w:styleId="69">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0">
    <w:name w:val="TOC 标题1"/>
    <w:basedOn w:val="4"/>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1">
    <w:name w:val="正文01"/>
    <w:basedOn w:val="1"/>
    <w:link w:val="72"/>
    <w:qFormat/>
    <w:uiPriority w:val="0"/>
    <w:pPr>
      <w:spacing w:line="480" w:lineRule="exact"/>
      <w:ind w:firstLine="539"/>
    </w:pPr>
    <w:rPr>
      <w:rFonts w:ascii="Times New Roman" w:hAnsi="Times New Roman" w:eastAsia="宋体" w:cs="Times New Roman"/>
      <w:sz w:val="27"/>
      <w:szCs w:val="27"/>
    </w:rPr>
  </w:style>
  <w:style w:type="character" w:customStyle="1" w:styleId="72">
    <w:name w:val="正文01 Char"/>
    <w:link w:val="71"/>
    <w:qFormat/>
    <w:uiPriority w:val="0"/>
    <w:rPr>
      <w:rFonts w:ascii="Times New Roman" w:hAnsi="Times New Roman" w:eastAsia="宋体" w:cs="Times New Roman"/>
      <w:sz w:val="27"/>
      <w:szCs w:val="27"/>
    </w:rPr>
  </w:style>
  <w:style w:type="character" w:customStyle="1" w:styleId="73">
    <w:name w:val="批注主题 字符"/>
    <w:basedOn w:val="62"/>
    <w:link w:val="30"/>
    <w:qFormat/>
    <w:uiPriority w:val="99"/>
    <w:rPr>
      <w:rFonts w:ascii="Calibri" w:hAnsi="Calibri" w:eastAsia="宋体" w:cs="Times New Roman"/>
      <w:b/>
      <w:bCs/>
      <w:sz w:val="24"/>
      <w:szCs w:val="24"/>
    </w:rPr>
  </w:style>
  <w:style w:type="character" w:customStyle="1" w:styleId="74">
    <w:name w:val="正文文本缩进 字符"/>
    <w:basedOn w:val="34"/>
    <w:link w:val="11"/>
    <w:qFormat/>
    <w:uiPriority w:val="99"/>
    <w:rPr>
      <w:rFonts w:ascii="Times New Roman" w:hAnsi="Times New Roman" w:eastAsia="宋体" w:cs="Times New Roman"/>
      <w:sz w:val="28"/>
      <w:szCs w:val="24"/>
    </w:rPr>
  </w:style>
  <w:style w:type="paragraph" w:customStyle="1" w:styleId="75">
    <w:name w:val="p0"/>
    <w:basedOn w:val="1"/>
    <w:qFormat/>
    <w:uiPriority w:val="0"/>
    <w:pPr>
      <w:widowControl/>
    </w:pPr>
    <w:rPr>
      <w:rFonts w:ascii="Times New Roman" w:hAnsi="Times New Roman" w:eastAsia="宋体" w:cs="Times New Roman"/>
      <w:kern w:val="0"/>
      <w:szCs w:val="21"/>
    </w:rPr>
  </w:style>
  <w:style w:type="paragraph" w:customStyle="1" w:styleId="76">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7">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78">
    <w:name w:val="默认段落字体 Para Char Char Char Char"/>
    <w:basedOn w:val="1"/>
    <w:qFormat/>
    <w:uiPriority w:val="99"/>
    <w:rPr>
      <w:rFonts w:ascii="Times New Roman" w:hAnsi="Times New Roman" w:eastAsia="宋体" w:cs="Times New Roman"/>
      <w:sz w:val="24"/>
      <w:szCs w:val="24"/>
    </w:rPr>
  </w:style>
  <w:style w:type="paragraph" w:customStyle="1" w:styleId="79">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0">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1">
    <w:name w:val="1"/>
    <w:basedOn w:val="1"/>
    <w:qFormat/>
    <w:uiPriority w:val="99"/>
    <w:pPr>
      <w:outlineLvl w:val="0"/>
    </w:pPr>
    <w:rPr>
      <w:rFonts w:ascii="Times New Roman" w:hAnsi="Times New Roman" w:eastAsia="黑体" w:cs="Times New Roman"/>
      <w:sz w:val="36"/>
      <w:szCs w:val="36"/>
    </w:rPr>
  </w:style>
  <w:style w:type="paragraph" w:customStyle="1" w:styleId="82">
    <w:name w:val="表"/>
    <w:basedOn w:val="1"/>
    <w:qFormat/>
    <w:uiPriority w:val="99"/>
    <w:pPr>
      <w:snapToGrid w:val="0"/>
      <w:jc w:val="center"/>
    </w:pPr>
    <w:rPr>
      <w:rFonts w:ascii="Times New Roman" w:hAnsi="Times New Roman" w:eastAsia="宋体" w:cs="Times New Roman"/>
      <w:spacing w:val="2"/>
      <w:szCs w:val="20"/>
    </w:rPr>
  </w:style>
  <w:style w:type="paragraph" w:customStyle="1" w:styleId="83">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4">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5">
    <w:name w:val="正文文本 Char"/>
    <w:basedOn w:val="34"/>
    <w:qFormat/>
    <w:uiPriority w:val="0"/>
    <w:rPr>
      <w:szCs w:val="24"/>
    </w:rPr>
  </w:style>
  <w:style w:type="character" w:customStyle="1" w:styleId="86">
    <w:name w:val="正文文本 字符"/>
    <w:basedOn w:val="34"/>
    <w:link w:val="10"/>
    <w:semiHidden/>
    <w:qFormat/>
    <w:uiPriority w:val="99"/>
  </w:style>
  <w:style w:type="character" w:customStyle="1" w:styleId="87">
    <w:name w:val="纯文本 Char"/>
    <w:basedOn w:val="34"/>
    <w:qFormat/>
    <w:uiPriority w:val="0"/>
    <w:rPr>
      <w:rFonts w:ascii="ˎ̥" w:hAnsi="ˎ̥"/>
      <w:sz w:val="18"/>
      <w:szCs w:val="18"/>
    </w:rPr>
  </w:style>
  <w:style w:type="character" w:customStyle="1" w:styleId="88">
    <w:name w:val="纯文本 字符"/>
    <w:basedOn w:val="34"/>
    <w:link w:val="14"/>
    <w:qFormat/>
    <w:uiPriority w:val="99"/>
    <w:rPr>
      <w:rFonts w:ascii="宋体" w:hAnsi="Courier New" w:eastAsia="宋体" w:cs="Courier New"/>
      <w:szCs w:val="21"/>
    </w:rPr>
  </w:style>
  <w:style w:type="paragraph" w:customStyle="1" w:styleId="89">
    <w:name w:val="TOC 标题2"/>
    <w:basedOn w:val="4"/>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0">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1">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2">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表格"/>
    <w:basedOn w:val="14"/>
    <w:next w:val="2"/>
    <w:link w:val="94"/>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4">
    <w:name w:val="表格 Char"/>
    <w:basedOn w:val="34"/>
    <w:link w:val="93"/>
    <w:qFormat/>
    <w:uiPriority w:val="0"/>
    <w:rPr>
      <w:rFonts w:ascii="宋体" w:hAnsi="宋体" w:eastAsia="宋体" w:cs="Times New Roman"/>
      <w:snapToGrid w:val="0"/>
      <w:kern w:val="0"/>
      <w:szCs w:val="20"/>
    </w:rPr>
  </w:style>
  <w:style w:type="paragraph" w:customStyle="1" w:styleId="95">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6">
    <w:name w:val="正文01 Char2"/>
    <w:qFormat/>
    <w:uiPriority w:val="0"/>
    <w:rPr>
      <w:color w:val="000000"/>
      <w:sz w:val="24"/>
      <w:szCs w:val="21"/>
    </w:rPr>
  </w:style>
  <w:style w:type="paragraph" w:customStyle="1" w:styleId="97">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8">
    <w:name w:val="正文文本缩进 2 字符"/>
    <w:basedOn w:val="34"/>
    <w:link w:val="17"/>
    <w:qFormat/>
    <w:uiPriority w:val="99"/>
  </w:style>
  <w:style w:type="table" w:customStyle="1" w:styleId="99">
    <w:name w:val="TableGrid"/>
    <w:qFormat/>
    <w:uiPriority w:val="0"/>
    <w:tblPr>
      <w:tblCellMar>
        <w:top w:w="0" w:type="dxa"/>
        <w:left w:w="0" w:type="dxa"/>
        <w:bottom w:w="0" w:type="dxa"/>
        <w:right w:w="0" w:type="dxa"/>
      </w:tblCellMar>
    </w:tblPr>
  </w:style>
  <w:style w:type="paragraph" w:customStyle="1" w:styleId="100">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1">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2">
    <w:name w:val="正文文本 (2)_"/>
    <w:basedOn w:val="34"/>
    <w:qFormat/>
    <w:uiPriority w:val="0"/>
    <w:rPr>
      <w:rFonts w:ascii="黑体" w:hAnsi="黑体" w:eastAsia="黑体" w:cs="黑体"/>
      <w:sz w:val="22"/>
      <w:szCs w:val="22"/>
      <w:u w:val="none"/>
    </w:rPr>
  </w:style>
  <w:style w:type="character" w:customStyle="1" w:styleId="103">
    <w:name w:val="正文文本 (2)"/>
    <w:basedOn w:val="102"/>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4">
    <w:name w:val="正文文本 (2) + 10 pt"/>
    <w:basedOn w:val="102"/>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5">
    <w:name w:val="正文文本 (2) + 间距 1 pt"/>
    <w:basedOn w:val="102"/>
    <w:qFormat/>
    <w:uiPriority w:val="0"/>
    <w:rPr>
      <w:rFonts w:ascii="黑体" w:hAnsi="黑体" w:eastAsia="黑体" w:cs="黑体"/>
      <w:spacing w:val="30"/>
      <w:sz w:val="22"/>
      <w:szCs w:val="22"/>
      <w:u w:val="none"/>
    </w:rPr>
  </w:style>
  <w:style w:type="character" w:customStyle="1" w:styleId="106">
    <w:name w:val="正文文本 (2) + Georgia"/>
    <w:basedOn w:val="102"/>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7">
    <w:name w:val="正文文本 (2) + SimSun"/>
    <w:basedOn w:val="102"/>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8">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9">
    <w:name w:val="Default"/>
    <w:basedOn w:val="110"/>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0">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1">
    <w:name w:val="List Paragraph"/>
    <w:basedOn w:val="1"/>
    <w:qFormat/>
    <w:uiPriority w:val="34"/>
    <w:pPr>
      <w:ind w:firstLine="420" w:firstLineChars="200"/>
    </w:pPr>
  </w:style>
  <w:style w:type="character" w:customStyle="1" w:styleId="112">
    <w:name w:val="样式1 Char Char"/>
    <w:link w:val="113"/>
    <w:qFormat/>
    <w:uiPriority w:val="99"/>
    <w:rPr>
      <w:kern w:val="2"/>
      <w:sz w:val="24"/>
      <w:szCs w:val="24"/>
    </w:rPr>
  </w:style>
  <w:style w:type="paragraph" w:customStyle="1" w:styleId="113">
    <w:name w:val="样式1"/>
    <w:basedOn w:val="11"/>
    <w:link w:val="112"/>
    <w:qFormat/>
    <w:uiPriority w:val="99"/>
    <w:pPr>
      <w:tabs>
        <w:tab w:val="clear" w:pos="2820"/>
        <w:tab w:val="clear" w:pos="2975"/>
        <w:tab w:val="clear" w:pos="4707"/>
      </w:tabs>
      <w:spacing w:line="360" w:lineRule="auto"/>
      <w:ind w:firstLine="480"/>
    </w:pPr>
    <w:rPr>
      <w:sz w:val="24"/>
    </w:rPr>
  </w:style>
  <w:style w:type="paragraph" w:customStyle="1" w:styleId="114">
    <w:name w:val="xl26"/>
    <w:basedOn w:val="1"/>
    <w:qFormat/>
    <w:uiPriority w:val="99"/>
    <w:pPr>
      <w:spacing w:before="100" w:after="100"/>
      <w:jc w:val="center"/>
    </w:pPr>
    <w:rPr>
      <w:rFonts w:ascii="Calibri" w:hAnsi="Calibri" w:eastAsia="宋体" w:cs="Calibri"/>
      <w:szCs w:val="21"/>
    </w:rPr>
  </w:style>
  <w:style w:type="paragraph" w:customStyle="1" w:styleId="115">
    <w:name w:val="Table Paragraph"/>
    <w:basedOn w:val="1"/>
    <w:qFormat/>
    <w:uiPriority w:val="1"/>
    <w:pPr>
      <w:jc w:val="left"/>
    </w:pPr>
    <w:rPr>
      <w:rFonts w:ascii="Calibri" w:hAnsi="Calibri" w:eastAsia="宋体" w:cs="Calibri"/>
      <w:kern w:val="0"/>
      <w:sz w:val="22"/>
    </w:rPr>
  </w:style>
  <w:style w:type="paragraph" w:customStyle="1" w:styleId="116">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7">
    <w:name w:val="报告正文-连续目录"/>
    <w:basedOn w:val="1"/>
    <w:link w:val="118"/>
    <w:qFormat/>
    <w:uiPriority w:val="0"/>
    <w:pPr>
      <w:spacing w:line="440" w:lineRule="exact"/>
      <w:ind w:firstLine="200" w:firstLineChars="200"/>
    </w:pPr>
    <w:rPr>
      <w:rFonts w:ascii="Arial" w:hAnsi="Arial" w:eastAsia="宋体" w:cs="Arial"/>
      <w:kern w:val="0"/>
      <w:sz w:val="24"/>
      <w:szCs w:val="24"/>
    </w:rPr>
  </w:style>
  <w:style w:type="character" w:customStyle="1" w:styleId="118">
    <w:name w:val="报告正文-连续目录 Char Char"/>
    <w:link w:val="117"/>
    <w:qFormat/>
    <w:uiPriority w:val="0"/>
    <w:rPr>
      <w:rFonts w:ascii="Arial" w:hAnsi="Arial" w:cs="Arial"/>
      <w:sz w:val="24"/>
      <w:szCs w:val="24"/>
    </w:rPr>
  </w:style>
  <w:style w:type="table" w:customStyle="1" w:styleId="119">
    <w:name w:val="网格型1"/>
    <w:basedOn w:val="3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1">
    <w:name w:val="网格型2"/>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
    <w:name w:val="网格型3"/>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3">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4">
    <w:name w:val="网格型4"/>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
    <w:name w:val="网格型5"/>
    <w:basedOn w:val="32"/>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6">
    <w:name w:val="Unresolved Mention"/>
    <w:basedOn w:val="34"/>
    <w:semiHidden/>
    <w:unhideWhenUsed/>
    <w:qFormat/>
    <w:uiPriority w:val="99"/>
    <w:rPr>
      <w:color w:val="605E5C"/>
      <w:shd w:val="clear" w:color="auto" w:fill="E1DFDD"/>
    </w:rPr>
  </w:style>
  <w:style w:type="paragraph" w:customStyle="1" w:styleId="127">
    <w:name w:val="五号居中表格"/>
    <w:basedOn w:val="1"/>
    <w:qFormat/>
    <w:uiPriority w:val="0"/>
    <w:pPr>
      <w:spacing w:line="240" w:lineRule="auto"/>
      <w:ind w:firstLine="0" w:firstLineChars="0"/>
      <w:jc w:val="center"/>
    </w:pPr>
    <w:rPr>
      <w:kern w:val="0"/>
      <w:sz w:val="21"/>
      <w:szCs w:val="20"/>
    </w:rPr>
  </w:style>
  <w:style w:type="paragraph" w:customStyle="1" w:styleId="128">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29">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0">
    <w:name w:val="正文C1"/>
    <w:basedOn w:val="31"/>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1">
    <w:name w:val="font91"/>
    <w:qFormat/>
    <w:uiPriority w:val="0"/>
    <w:rPr>
      <w:rFonts w:hint="eastAsia" w:ascii="宋体" w:hAnsi="宋体" w:eastAsia="宋体" w:cs="宋体"/>
      <w:color w:val="000000"/>
      <w:sz w:val="21"/>
      <w:szCs w:val="21"/>
      <w:u w:val="none"/>
    </w:rPr>
  </w:style>
  <w:style w:type="character" w:customStyle="1" w:styleId="132">
    <w:name w:val="font101"/>
    <w:qFormat/>
    <w:uiPriority w:val="0"/>
    <w:rPr>
      <w:rFonts w:hint="default" w:ascii="Times New Roman" w:hAnsi="Times New Roman" w:cs="Times New Roman"/>
      <w:color w:val="000000"/>
      <w:sz w:val="21"/>
      <w:szCs w:val="21"/>
      <w:u w:val="none"/>
    </w:rPr>
  </w:style>
  <w:style w:type="paragraph" w:styleId="133">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4">
    <w:name w:val="无间隔 Char"/>
    <w:qFormat/>
    <w:uiPriority w:val="0"/>
    <w:rPr>
      <w:kern w:val="2"/>
      <w:sz w:val="24"/>
    </w:rPr>
  </w:style>
  <w:style w:type="character" w:customStyle="1" w:styleId="135">
    <w:name w:val="font41"/>
    <w:basedOn w:val="34"/>
    <w:qFormat/>
    <w:uiPriority w:val="0"/>
    <w:rPr>
      <w:rFonts w:ascii="仿宋_GB2312" w:eastAsia="仿宋_GB2312" w:cs="仿宋_GB2312"/>
      <w:color w:val="000000"/>
      <w:sz w:val="21"/>
      <w:szCs w:val="21"/>
      <w:u w:val="none"/>
    </w:rPr>
  </w:style>
  <w:style w:type="character" w:customStyle="1" w:styleId="136">
    <w:name w:val="font31"/>
    <w:basedOn w:val="34"/>
    <w:qFormat/>
    <w:uiPriority w:val="0"/>
    <w:rPr>
      <w:rFonts w:hint="eastAsia" w:ascii="宋体" w:hAnsi="宋体" w:eastAsia="宋体" w:cs="宋体"/>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09A3B9F-1A17-4184-852A-AC3A63742FF7}">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24</Pages>
  <Words>3102</Words>
  <Characters>3721</Characters>
  <Lines>263</Lines>
  <Paragraphs>74</Paragraphs>
  <TotalTime>28</TotalTime>
  <ScaleCrop>false</ScaleCrop>
  <LinksUpToDate>false</LinksUpToDate>
  <CharactersWithSpaces>4035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2022-08-13T10:59:00Z</dcterms:created>
  <dc:creator>微软用户</dc:creator>
  <cp:lastModifiedBy>羽-中_翀</cp:lastModifiedBy>
  <cp:lastPrinted>2024-09-12T13:09:00Z</cp:lastPrinted>
  <dcterms:modified xsi:type="dcterms:W3CDTF">2025-03-18T01:10:26Z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AB79AEDD6CC54A589031D6207ACBB367_13</vt:lpwstr>
  </property>
  <property fmtid="{D5CDD505-2E9C-101B-9397-08002B2CF9AE}" pid="4" name="KSOTemplateDocerSaveRecord">
    <vt:lpwstr>eyJoZGlkIjoiMjM2MTYyZjhlNDJhNWJkNjY4ZGJmYmJiNjY5MjYxOTEiLCJ1c2VySWQiOiIyOTY5MDU5NDEifQ==</vt:lpwstr>
  </property>
</Properties>
</file>